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介入手术X射线造影导丝分割系统全栈研发与工程落地蓝皮书</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介入手术影像分析与微细器械分割的临床背景与极限挑战</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在现代微创血管内介入手术（Endovascular Interventions）的发展历程中，医学影像引导技术的进步起到了决定性的作用。包括经导管动脉化疗栓塞术（Transcatheter Arterial Chemoembolization, TACE）、经皮冠状动脉介入治疗（Percutaneous Coronary Intervention, PCI）以及经导管主动脉瓣置换术（Transcatheter Aortic Valve Implantation, TAVI）在内的多种复杂术式，均高度依赖X射线荧光透视（Fluoroscopy）技术来引导医生操作核心医疗器械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。在此类高精度手术中，导丝（Guidewire）作为引导其他各类器械（如微导管、扩张球囊、自膨胀或球囊扩张支架）精准抵达目标解剖病灶的“轨道”，其空间位置的精确感知对于手术的成功至关重要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。随着血管介入手术机器人系统的快速崛起，赋予机器人主控系统对导丝形态的实时、精确、自主的视觉识别能力，已成为降低血管穿孔风险、优化术中决策并最终实现手术自动化操作的不可或缺的前提条件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然而，在真实的临床手术室环境中，基于实时X射线荧光透视图像的导丝分割任务面临着一系列极为严苛的技术与物理极限挑战。首先，为了严格遵循辐射防护的ALARA（As Low As Reasonably Achievable）原则，最大限度地减少患者和主刀医生的电离辐射暴露，常规的术中荧光透视通常在极低剂量的X射线参数下运行 </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。这一物理限制直接导致了原始图像呈现出极低的对比度噪声比（Contrast-to-Noise Ratio, CNR），并伴随着由于光子数量不足而产生的严重泊松分布散斑噪声，使得原本就细微的器械边缘变得极其模糊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其次，从形态学的角度审视，导丝本身的物理直径极细（在临床实践中，诸如冠脉介入常用的导丝直径通常仅为0.014英寸，约合0.36毫米），当其被投影到二维的数字X射线接收器阵列上时，在标准分辨率的图像矩阵中往往仅占据一到两个像素的宽度 </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。在整个视场中，导丝所属的前景像素与庞大的背景像素群体之间形成了典型的、极度严重的类别不平衡（Class Imbalance）现象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此外，在复杂的血管腔内导航过程中，导丝不可避免地会与人体致密的骨骼结构（如高密度的脊柱、层叠的肋骨、横膈膜边缘）、因造影剂注射而呈现高亮显影的复杂血管网络，以及其他伴行的手术器械（如大口径造影导管、超声探头、甚至植入体内的起搏器导线和外科手术螺钉）发生严重的视觉重叠与交叉干扰 </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。这些高度复杂的背景元素极大地加剧了分割算法在特征提取阶段产生类间混淆与假阳性（False Positives）响应的概率 </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最后，不可忽视的生理动态干扰进一步提高了任务的门槛。患者的规律性呼吸运动以及心脏的高频周期性跳动，会在X射线视频流中引入显著的非刚性运动伪影 </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为了匹配介入手术高度动态的实时操作需求，消除由于视觉反馈滞后带来的手术安全隐患，部署在手术室边缘计算节点或机器人主控平台上的深度学习算法，不仅需要具备卓越的空间形态感知与拓扑连通性补全能力，还被强制要求满足极高的实时推理速度基准（行业共识通常要求系统端到端推理帧率高于30 FPS）</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针对上述极其复杂的临床需求与工程挑战，本研究报告将系统性地阐述一套从零构建介入手术图像导丝分割系统的全栈式建设方案。针对系统研发初期“初步实现导丝分割识别”的核心诉求，本报告将详细规划如何完全依托现有的公开开源影像数据池来构建高质量的训练语料库，并科学地分离出高度保真的左侧测试集（Hold-out Test Set）。随后，报告将深入剖析针对极低信噪比X射线图像的预处理增强技术、多尺度与基于Hessian矩阵的前沿深度学习网络架构设计、针对微细管状结构拓扑保持的革命性损失函数（如clDice及其变体）底层数学原理与工程实现细节，并最终确立一套多维度的系统性能评估体系，旨在为研发团队提供一条兼具顶尖学术前沿视野与坚实工程落地可行性的清晰技术演进路径。</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公开开源数据集矩阵与独立左侧测试集构建策略</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构建任何具备高鲁棒性与强泛化能力的深度学习计算机视觉模型，其核心前提与基石均在于获取大规模、高质量、具有丰富形态变化且标注达到专家级精确度的临床数据集。针对本系统建设初期尚未积累充足本地私有临床数据的现状，完全可以且应当依托当前国际医学图像计算领域内最具代表性的几个开源血管介入影像数据池，来构建系统的初始训练引擎与严谨的独立左侧测试集。以下将对当前极具应用价值的几大公开数据集的内部结构、标注协议与适用场景进行深度解构。</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主流核心开源数据集的多维度深度剖析</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当前研究领域内最具权威性与数据规模的公开数据集矩阵主要涵盖了大规模动作理解集、多目标语义分割集、困难样本基准集以及相关的冠脉造影背景集，这些资源为系统研发提供了全方位的弹药库。</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在超大规模数据储备方面，CathAction 数据集是目前已知规模最为庞大、设计目标最为宏大的针对导管化和介入手术理解的大型公开基准数据集 </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。该数据集的构建旨在全面推动内窥镜与血管内介入的智能化理解，其体量极其惊人，包含了高达 500,000 帧的标注图像序列 </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这五十万帧数据不仅被广泛应用于复杂的导管操作动作理解（如细分为推进导管、撤回导管、推进导丝、撤回导丝以及旋转器械等五大精细动作类别）和器械-组织碰撞检测任务，更为关键的是，研究团队在其中专门剥离并提供了约 25,000 张针对导管（Catheter）和导丝（Guidewire）的高质量像素级真实标注掩码（Groundtruth Masks）</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。CathAction 数据集的底层目录结构被精心组织为包含提取视频帧的文件夹、预提取RGB特征的目录以及详尽记录了视频ID、动作起止帧和类别标签序列的 CSV 格式标注文件（区分了训练集与验证集文件）</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。该数据集的原始图像涵盖了极端复杂的术中真实物理场景，且研究机构通过其官方网站、Hugging Face 平台以及 GitHub 托管库提供了极为便捷的数据下载通道与配套的数据加载代码脚手架 </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。对于建立初始的导丝分割基线模型而言，CathAction 凭借其碾压性的数据量优势，是系统执行冷启动训练时不可替代的最强基石 </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在处理复杂背景干扰与多器械交叉重叠的精细化需求方面，MOSXAV (Multi-Object Segmentation in X-ray Angiography Videos) 数据集提供了一个无可挑剔的基准评测平台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。MOSXAV 专门设计用于评估模型在动态 X 射线血管造影视频流中执行多目标联合分割的能力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。该数据集收录的每一段视频序列包含 33 至 70 帧不等的连续图像，且统一标准化为 512×512 像素的高分辨率矩阵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。与仅提供单一前景二值化标注的数据集不同，MOSXAV 的血管与器械区域由经验丰富的资深放射科医生进行了多类别的精细语义标注，重点标注集中在造影剂最为显著、血管网络充盈度最高的一到两个关键帧上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。其类别标签体系被严格定义为六大类：标记为ID 0 的背景类（囊括了脊柱、肋骨、横膈膜等解剖结构及图像设备噪声）、标记为ID 1 的核心观察对象血管网络、标记为ID 2 的造影剂注射专用导管、标记为ID 3 的常规介入诊断导管、标记为ID 4 的血管成形术扩张球囊，以及测试集中特有的标记为ID 5 的其他杂项结构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为了确保医学解剖学的严谨性与标注边界的高精度，MOSXAV 数据集的构建采用了一套极为严苛的多阶段混合标注协议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。首先，标注人员必须接受特定解剖结构的标准化培训；随后，研究团队利用了强大的 PaddleSeg 深度学习端到端图像分割框架来进行半自动化的掩码初始化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。PaddleSeg 框架内置了包括高精度语义分割模型（如基于 HRNet 骨干网络的 FCN 或 OCRNet）、轻量级模型（如 PP-LiteSeg、BiSeNetV2）以及超轻量级架构（如 MobileSeg）在内的超过 45 种前沿算法与 140 余个预训练模型权重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。通过利用这些在庞大通用数据上预训练的基础模型，系统生成了高保真的初始边界轮廓；紧接着，人类医学专家对这些 AI 生成的掩码进行逐像素的显微级复核与手动校正，精细勾勒血管分支的末端边界；最后通过严格的共识与质量保证机制锁定最终标签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。该数据集被科学地划分为包含 30 个序列（总计 2,335 帧，采用每 5 帧抽帧标注策略）的训练/验证集，以及包含 12 个序列（总计 488 帧，执行全序列逐帧高密度标注）的测试集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。引入 MOSXAV 数据的核心战略价值在于，强制模型在训练阶段学习如何在复杂的造影剂扩散背景、交错的冠状动脉树以及多种相似医疗器械相互重叠的极端场景下，精准识别并抑制假阳性特征响应，这对于系统未来在真实造影序列中的应用具有决定性意义。</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在考察模型对极低对比度环境的泛化能力与抗干扰鲁棒性方面，由伦敦大学学院（UCL）牵头发布的 WEISS 荧光透视导管分割数据集提供了极具挑战性的困难样本（Hard Examples）库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。该数据集的文件结构以 HDF5 格式封装，不仅包含了来自体外人工硅胶主动脉体模插管实验的 2000 张高清晰度图像（Phantom.hdf5），更包含了在真实活体手术环境中提取的珍贵影像序列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。活体数据集细分为来自 4 例 TAVI 手术的 836 帧图像（封装在 T1T2.hdf5 和包含 T3、T4 子集的独立文件中）以及来自 2 例诊断性导管插入术的 371 帧图像（封装在 T3-T6.hdf5 文件中，具体包含 T5 子集 143 帧与 T6 子集 228 帧）</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WEISS 数据集的真实标签是由一种结合了人工交互初始化的半自动化追踪算法生成的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。该追踪算法极具工程创新性，它将 B 样条管状模型（B-spline tube model）作为表征器械形态演变的强大先验知识，用于严格限制概率搜索的解空间并有效应对由于噪点导致的特征缺失问题；同时整合了概率统计框架，精确估计了由 B 样条管状轮廓所界定的前景区域与背景像素之间的后验概率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。经过算法追踪后生成的掩码均经过了人类专家逐一检查与像素级校正，最终呈现为 256×256 分辨率的纯净二值掩码（背景值为 0，器械像素值为 1）</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。该数据集中极具科研价值的部分在于 T5 和 T6 这两个序列。文献与实验分析均明确指出，由于这两个序列所处的荧光透视环境对比度极低，且 T6 序列中广泛存在视野边缘的黑色遮罩边框伪影，导致绝大多数常规分割网络在此处的性能出现断崖式下跌，常常无法输出器械的完整连续形态 </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。正因其难度极高，利用这些序列来测试模型的抗噪能力与形状补全能力被视为验证算法是否真正具备临床可用性的金标准 </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除了上述直接提供器械掩码的核心数据集，系统还可以战略性地引入其他相关血管造影背景数据集，以增强模型对背景解剖结构的特征表征能力。例如，Kaggle 平台上托管的 ARCADE 数据集（自动基于区域的冠状动脉疾病 X 射线血管造影诊断）</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。ARCADE 数据集由专家利用 CVAT 工具进行了交叉验证标注，包含了 3000 张高度匿名化的 X 射线冠状动脉血管造影（XCA）帧，图像分辨率为标准的 512×512 像素，数据源自年龄跨度从 19 岁至 90 岁的真实世界患者群体，并由飞利浦 Azurion 3 及西门子 Artis Zee 等主流高端血管造影机采集 </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。尽管该数据集的核心任务是基于 SYNTAX 评分方法论的血管网络分割与动脉粥样硬化斑块狭窄检测（各分配 1500 张图像用于不同子任务），但将其作为模型的预训练数据（Pre-training Data），或将其血管背景作为负样本送入导丝分割系统，可以极大地强化卷积神经网络或 Transformer 编码器对冠脉血管树形态的理解，从而在随后的导丝分割微调（Fine-tuning）阶段，显著降低将血管边缘误判为导丝的概率 </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。类似地，研究者 JianjunZhu 所在的团队在开发 FGA-Net 算法时，构建了一个针对 TACE 临床场景的专用导丝数据集，包含来自 38 名受试者的 2839 张实时引导图像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。虽然部分极度敏感的临床私有数据获取门槛较高，但通过其在 GitHub 上开源的 Vascular-Guidewire-Datasets 仓库页面，研究人员仍可探寻并下载用于算法概念验证的小型 DSA 图像示例包与评估代码框架，作为研究的补充素材 </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严谨的独立左侧测试集（Hold-out Test Set）构建规范</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针对用户明确提出的“可以从公开来源下载影像左侧测试集”的系统设计需求，为了绝对避免深度学习中常见的“数据泄露（Data Leakage）”陷阱并真实反映模型在未知临床场景下的泛化水平，系统建议采取严格的跨域数据划分策略。</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系统训练语料库的主体构建，应当全面吸纳 CathAction 数据集中体量庞大的 25,000 张器械掩码，将其作为网络权重初始化的主驱动引擎，赋予模型在不同物理形变与基础噪声环境下的底层特征辨识能力 </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。随后，将 MOSXAV 数据集中的 30 个高分辨率训练与验证序列（2,335 帧）作为微调数据流注入系统，迫使模型学习如何在密集的血管网络与多种器械共存的极复杂语义环境中精准剥离目标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。在这一阶段，可以将 MOSXAV 官方划定的 12 个测试序列（488 帧）作为常规的内部验证集，用于在每个 Epoch 结束时监控模型的收敛状态与过拟合倾向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而作为系统最终性能验收的“左侧测试集（Hold-out Test Set）”，强烈建议完全剥离并封存 WEISS (UCL) 数据集中的活体临床序列，尤其是面临极端对比度挑战的 T5 和 T6 序列（总计 371 帧），以及从 FGA-Net 相关的公开基准视频中抽取的数百帧完全未参与网络梯度更新的独立验证图像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。将这些在图像亮度分布、造影机硬件指纹以及噪声统计特性上与主要训练集（如 CathAction）存在显著领域跨度（Domain Shift）的困难样本作为最终试金石，不仅完美契合了用户的建设初衷，更能为系统的下一步医疗器械注册认证提供极具说服力的客观性能基准线。</w:t>
      </w:r>
    </w:p>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术前与术中X射线影像的极致前端预处理与增强模块</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受限于X射线光子的物理成像机制及人体不同组织对射线的差异化吸收衰减特性，直接将由数字平板探测器输出的原始像素阵列送入深层神经网络往往会导致梯度弥散或收敛停滞。因此，在算法管道的前端构建极具针对性的预处理与图像增强模块，是系统取得成功的关键前置步骤。有效的预处理层能够利用传统的计算机视觉与数学物理滤波技术，在非线性激活空间中预先拉开导丝与暗背景的对比度差距，并显著抑制由呼吸和心跳带来的中低频干扰。</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局部对比度自适应提升与多维散斑抑制策略</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临床采集的荧光透视图像在全局灰度直方图上通常呈现出极其陡峭且集中的单峰分布态势，这意味着占据极少数像素、灰度值仅有微小差异的极细导丝极易被淹没在宽广的灰度渐变软组织背景之中。面对这一难题，全局直方图均衡化（Histogram Equalization, HE）已被证明是无效甚至有害的，因为它会无差别地过度放大背景中的泊松噪声颗粒，导致图像细节彻底丢失 </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系统应将对比度受限自适应直方图均衡化（Contrast Limited Adaptive Histogram Equalization, CLAHE）技术作为标准预处理组件 </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。CLAHE 算法的卓越之处在于，它将整幅高分辨率图像分割成若干个互相重叠的局部图像块（Tiles），在每一个微小的局部区域内独立计算并执行直方图均衡操作 </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。通过引入用户可调的对比度裁剪阈值（Clip Limit），算法能够强制截断超出该阈值的频率直方图分布峰值，并将这些被截断的像素均匀地重分配到其他灰度级上，从而在极限提升局部细微金属结构对比度的同时，完美规避了噪声放大的陷阱 </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在噪声抑制层面，传统的线性滤波器（如高斯模糊或均值滤波）在平滑噪声的同时不可避免地会严重模糊掉导丝那仅有单像素宽度的尖锐边缘。因此，系统应当借鉴类似于 PACE2.0 框架（最初被开发用于强化胸部X光图像中的新冠肺炎病灶细节，被证明能使图像的对比度改善指数CII提升35%，增强量度EME提升95.6%）的设计理念，引入非局部均值去噪（Non-local Means Denoising）算法 </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。该算法通过在全图范围内搜索并计算具有相似纹理邻域的像素权重，能够实现对散斑噪声的高度平滑，同时完美保持管状结构的高频边界不变 </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。当非局部均值去噪与自适应伽马曲线校正（Gamma Correction）模块级联工作时，可以实现在宏观亮度重塑与微观细节保真之间的最佳平衡 </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基于二阶偏导数矩阵（Hessian）的管状结构物理先验增强</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鉴于导丝在二维投影图像中具有极其明确且连贯的暗色（或在极性反转模式下为亮色）细长管状拓扑结构，利用数学手段对这种特定的几何属性进行特征放大是前沿预处理架构的核心。基于高斯尺度空间的二阶偏导数矩阵——即 Hessian 矩阵（及其衍生的 Frangi 滤波器算法）——展现出了无可比拟的结构筛选能力 </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对于输入的二维医学图像 </w:t>
      </w:r>
      <w:r w:rsidDel="00000000" w:rsidR="00000000" w:rsidRPr="00000000">
        <w:rPr>
          <w:rFonts w:ascii="Google Sans" w:cs="Google Sans" w:eastAsia="Google Sans" w:hAnsi="Google Sans"/>
          <w:color w:val="1f1f1f"/>
        </w:rPr>
        <w:drawing>
          <wp:inline distB="19050" distT="19050" distL="19050" distR="19050">
            <wp:extent cx="523578" cy="228470"/>
            <wp:effectExtent b="0" l="0" r="0" t="0"/>
            <wp:docPr id="11"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23578" cy="228470"/>
                    </a:xfrm>
                    <a:prstGeom prst="rect"/>
                    <a:ln/>
                  </pic:spPr>
                </pic:pic>
              </a:graphicData>
            </a:graphic>
          </wp:inline>
        </w:drawing>
      </w:r>
      <w:r w:rsidDel="00000000" w:rsidR="00000000" w:rsidRPr="00000000">
        <w:rPr>
          <w:rFonts w:ascii="Google Sans" w:cs="Google Sans" w:eastAsia="Google Sans" w:hAnsi="Google Sans"/>
          <w:color w:val="1f1f1f"/>
          <w:rtl w:val="0"/>
        </w:rPr>
        <w:t xml:space="preserve">，在其与特定尺度系数 </w:t>
      </w:r>
      <w:r w:rsidDel="00000000" w:rsidR="00000000" w:rsidRPr="00000000">
        <w:rPr>
          <w:rFonts w:ascii="Google Sans" w:cs="Google Sans" w:eastAsia="Google Sans" w:hAnsi="Google Sans"/>
          <w:color w:val="1f1f1f"/>
        </w:rPr>
        <w:drawing>
          <wp:inline distB="19050" distT="19050" distL="19050" distR="19050">
            <wp:extent cx="111844" cy="223689"/>
            <wp:effectExtent b="0" l="0" r="0" t="0"/>
            <wp:docPr id="13"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111844" cy="223689"/>
                    </a:xfrm>
                    <a:prstGeom prst="rect"/>
                    <a:ln/>
                  </pic:spPr>
                </pic:pic>
              </a:graphicData>
            </a:graphic>
          </wp:inline>
        </w:drawing>
      </w:r>
      <w:r w:rsidDel="00000000" w:rsidR="00000000" w:rsidRPr="00000000">
        <w:rPr>
          <w:rFonts w:ascii="Google Sans" w:cs="Google Sans" w:eastAsia="Google Sans" w:hAnsi="Google Sans"/>
          <w:color w:val="1f1f1f"/>
          <w:rtl w:val="0"/>
        </w:rPr>
        <w:t xml:space="preserve"> 的二维高斯核 </w:t>
      </w:r>
      <w:r w:rsidDel="00000000" w:rsidR="00000000" w:rsidRPr="00000000">
        <w:rPr>
          <w:rFonts w:ascii="Google Sans" w:cs="Google Sans" w:eastAsia="Google Sans" w:hAnsi="Google Sans"/>
          <w:color w:val="1f1f1f"/>
        </w:rPr>
        <w:drawing>
          <wp:inline distB="19050" distT="19050" distL="19050" distR="19050">
            <wp:extent cx="766763" cy="227189"/>
            <wp:effectExtent b="0" l="0" r="0" t="0"/>
            <wp:docPr id="1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766763" cy="227189"/>
                    </a:xfrm>
                    <a:prstGeom prst="rect"/>
                    <a:ln/>
                  </pic:spPr>
                </pic:pic>
              </a:graphicData>
            </a:graphic>
          </wp:inline>
        </w:drawing>
      </w:r>
      <w:r w:rsidDel="00000000" w:rsidR="00000000" w:rsidRPr="00000000">
        <w:rPr>
          <w:rFonts w:ascii="Google Sans" w:cs="Google Sans" w:eastAsia="Google Sans" w:hAnsi="Google Sans"/>
          <w:color w:val="1f1f1f"/>
          <w:rtl w:val="0"/>
        </w:rPr>
        <w:t xml:space="preserve"> 进行卷积平滑后，其图像空间中任意一点像素的 Hessian 矩阵 </w:t>
      </w:r>
      <w:r w:rsidDel="00000000" w:rsidR="00000000" w:rsidRPr="00000000">
        <w:rPr>
          <w:rFonts w:ascii="Google Sans" w:cs="Google Sans" w:eastAsia="Google Sans" w:hAnsi="Google Sans"/>
          <w:color w:val="1f1f1f"/>
        </w:rPr>
        <w:drawing>
          <wp:inline distB="19050" distT="19050" distL="19050" distR="19050">
            <wp:extent cx="168251" cy="224334"/>
            <wp:effectExtent b="0" l="0" r="0" t="0"/>
            <wp:docPr id="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8251" cy="22433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定义为：</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449043"/>
            <wp:effectExtent b="0" l="0" r="0" t="0"/>
            <wp:docPr id="14"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905500" cy="44904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其中，</w:t>
      </w:r>
      <w:r w:rsidDel="00000000" w:rsidR="00000000" w:rsidRPr="00000000">
        <w:rPr>
          <w:rFonts w:ascii="Google Sans" w:cs="Google Sans" w:eastAsia="Google Sans" w:hAnsi="Google Sans"/>
          <w:color w:val="1f1f1f"/>
        </w:rPr>
        <w:drawing>
          <wp:inline distB="19050" distT="19050" distL="19050" distR="19050">
            <wp:extent cx="855613" cy="228163"/>
            <wp:effectExtent b="0" l="0" r="0" t="0"/>
            <wp:docPr id="1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855613" cy="228163"/>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分别代表图像灰度场在水平、垂直以及交叉对角线方向上的二阶偏导数。 通过求解该 </w:t>
      </w:r>
      <w:r w:rsidDel="00000000" w:rsidR="00000000" w:rsidRPr="00000000">
        <w:rPr>
          <w:rFonts w:ascii="Google Sans" w:cs="Google Sans" w:eastAsia="Google Sans" w:hAnsi="Google Sans"/>
          <w:color w:val="1f1f1f"/>
        </w:rPr>
        <w:drawing>
          <wp:inline distB="19050" distT="19050" distL="19050" distR="19050">
            <wp:extent cx="409872" cy="219234"/>
            <wp:effectExtent b="0" l="0" r="0" t="0"/>
            <wp:docPr id="1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09872" cy="21923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对称矩阵的特征方程，可以获得两个关键的特征值 </w:t>
      </w:r>
      <w:r w:rsidDel="00000000" w:rsidR="00000000" w:rsidRPr="00000000">
        <w:rPr>
          <w:rFonts w:ascii="Google Sans" w:cs="Google Sans" w:eastAsia="Google Sans" w:hAnsi="Google Sans"/>
          <w:color w:val="1f1f1f"/>
        </w:rPr>
        <w:drawing>
          <wp:inline distB="19050" distT="19050" distL="19050" distR="19050">
            <wp:extent cx="181272" cy="228975"/>
            <wp:effectExtent b="0" l="0" r="0" t="0"/>
            <wp:docPr id="21"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181272" cy="228975"/>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和 </w:t>
      </w:r>
      <w:r w:rsidDel="00000000" w:rsidR="00000000" w:rsidRPr="00000000">
        <w:rPr>
          <w:rFonts w:ascii="Google Sans" w:cs="Google Sans" w:eastAsia="Google Sans" w:hAnsi="Google Sans"/>
          <w:color w:val="1f1f1f"/>
        </w:rPr>
        <w:drawing>
          <wp:inline distB="19050" distT="19050" distL="19050" distR="19050">
            <wp:extent cx="181272" cy="228975"/>
            <wp:effectExtent b="0" l="0" r="0" t="0"/>
            <wp:docPr id="1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1272" cy="228975"/>
                    </a:xfrm>
                    <a:prstGeom prst="rect"/>
                    <a:ln/>
                  </pic:spPr>
                </pic:pic>
              </a:graphicData>
            </a:graphic>
          </wp:inline>
        </w:drawing>
      </w:r>
      <w:r w:rsidDel="00000000" w:rsidR="00000000" w:rsidRPr="00000000">
        <w:rPr>
          <w:rFonts w:ascii="Google Sans" w:cs="Google Sans" w:eastAsia="Google Sans" w:hAnsi="Google Sans"/>
          <w:color w:val="1f1f1f"/>
          <w:rtl w:val="0"/>
        </w:rPr>
        <w:t xml:space="preserve">（通常约定按照绝对值大小排序，即 </w:t>
      </w:r>
      <w:r w:rsidDel="00000000" w:rsidR="00000000" w:rsidRPr="00000000">
        <w:rPr>
          <w:rFonts w:ascii="Google Sans" w:cs="Google Sans" w:eastAsia="Google Sans" w:hAnsi="Google Sans"/>
          <w:color w:val="1f1f1f"/>
        </w:rPr>
        <w:drawing>
          <wp:inline distB="19050" distT="19050" distL="19050" distR="19050">
            <wp:extent cx="813494" cy="229692"/>
            <wp:effectExtent b="0" l="0" r="0" t="0"/>
            <wp:docPr id="24"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813494" cy="229692"/>
                    </a:xfrm>
                    <a:prstGeom prst="rect"/>
                    <a:ln/>
                  </pic:spPr>
                </pic:pic>
              </a:graphicData>
            </a:graphic>
          </wp:inline>
        </w:drawing>
      </w:r>
      <w:r w:rsidDel="00000000" w:rsidR="00000000" w:rsidRPr="00000000">
        <w:rPr>
          <w:rFonts w:ascii="Google Sans" w:cs="Google Sans" w:eastAsia="Google Sans" w:hAnsi="Google Sans"/>
          <w:color w:val="1f1f1f"/>
          <w:rtl w:val="0"/>
        </w:rPr>
        <w:t xml:space="preserve">）以及它们对应的特征向量矩阵 </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。这两个特征值的数学意义完美契合了医学图像中的几何结构分类规则： 当像素点位于极细的线状或管状结构（如导丝、细小血管分支）的中心线上时，沿着管状方向的灰度变化极小，导致 </w:t>
      </w:r>
      <w:r w:rsidDel="00000000" w:rsidR="00000000" w:rsidRPr="00000000">
        <w:rPr>
          <w:rFonts w:ascii="Google Sans" w:cs="Google Sans" w:eastAsia="Google Sans" w:hAnsi="Google Sans"/>
          <w:color w:val="1f1f1f"/>
        </w:rPr>
        <w:drawing>
          <wp:inline distB="19050" distT="19050" distL="19050" distR="19050">
            <wp:extent cx="621953" cy="229644"/>
            <wp:effectExtent b="0" l="0" r="0" t="0"/>
            <wp:docPr id="22"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621953" cy="229644"/>
                    </a:xfrm>
                    <a:prstGeom prst="rect"/>
                    <a:ln/>
                  </pic:spPr>
                </pic:pic>
              </a:graphicData>
            </a:graphic>
          </wp:inline>
        </w:drawing>
      </w:r>
      <w:r w:rsidDel="00000000" w:rsidR="00000000" w:rsidRPr="00000000">
        <w:rPr>
          <w:rFonts w:ascii="Google Sans" w:cs="Google Sans" w:eastAsia="Google Sans" w:hAnsi="Google Sans"/>
          <w:color w:val="1f1f1f"/>
          <w:rtl w:val="0"/>
        </w:rPr>
        <w:t xml:space="preserve">；而垂直于管状边缘方向的灰度呈现剧烈的山谷状或山峰状变化，导致 </w:t>
      </w:r>
      <w:r w:rsidDel="00000000" w:rsidR="00000000" w:rsidRPr="00000000">
        <w:rPr>
          <w:rFonts w:ascii="Google Sans" w:cs="Google Sans" w:eastAsia="Google Sans" w:hAnsi="Google Sans"/>
          <w:color w:val="1f1f1f"/>
        </w:rPr>
        <w:drawing>
          <wp:inline distB="19050" distT="19050" distL="19050" distR="19050">
            <wp:extent cx="283815" cy="227052"/>
            <wp:effectExtent b="0" l="0" r="0" t="0"/>
            <wp:docPr id="23"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283815" cy="227052"/>
                    </a:xfrm>
                    <a:prstGeom prst="rect"/>
                    <a:ln/>
                  </pic:spPr>
                </pic:pic>
              </a:graphicData>
            </a:graphic>
          </wp:inline>
        </w:drawing>
      </w:r>
      <w:r w:rsidDel="00000000" w:rsidR="00000000" w:rsidRPr="00000000">
        <w:rPr>
          <w:rFonts w:ascii="Google Sans" w:cs="Google Sans" w:eastAsia="Google Sans" w:hAnsi="Google Sans"/>
          <w:color w:val="1f1f1f"/>
          <w:rtl w:val="0"/>
        </w:rPr>
        <w:t xml:space="preserve"> 达到极大的正值或负值。 相反，当像素点处于平滑背景区域时，两个特征值的绝对值均极小；而当像素点处于团块状结构（如不规则造影剂沉积斑块或骨骼交界点）时，两个特征值的绝对值均巨大且符号通常相同。</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在目前最前沿的实时导丝分割系统设计中（如提出的 HessianNet 框架），研究人员甚至抛弃了传统的将 Hessian 增强作为离线预处理的繁琐流程，而是创新性地在深度神经网络的物理输入前端，直接使用底层张量计算引擎搭建了一个可微分的 Hessian 特征提取层（Hessian Layer）</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。该网络层能够以极快的速度在 GPU 显存内并行计算出多尺度下的本征特征图（Eigenvalue Features），并将这些富含管状结构先验信息的特征通道与原始经过初步清洗的灰度图像沿着通道维度进行拼接融合，随后统一送入后续的编码器模块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。这一架构设计使得网络在浅层阶段就获得了关于导丝方向性与连通性的高阶语义暗示，极大地提高了极低信噪比图像中的目标显著性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基于动态帧间关系与数字减影的时间序列背景抑制</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处理时间连续的动态X射线视频流时，导丝的操控运动频率与位移幅度通常显著高于被压迫固定的人体骨骼与呼吸起伏的横膈膜。为了彻底消除这些静态或缓慢运动的高密度解剖结构的致命干扰，系统必须借鉴数字减影血管造影（Digital Subtraction Angiography, DSA）的核心数学思想，部署动态背景减除（Background Subtraction）算法 </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传统的底帽变换（Bottom-hat transform）等形态学方法虽然能在单帧内提取暗弱细节，但往往不够彻底 </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。通过引入基于运动补偿的帧间线性减影技术，算法可以将当前时间步的造影帧与序列初始采集的掩膜帧（Mask Frame，即尚未推入导丝、仅包含骨骼和组织背景的纯净图像）进行精确配准与差值相减 </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如多项对比研究所示，这种减影处理能够将被隐藏在致密颅骨或脊椎后方的细微导丝彻底剥离出来，将目标的对比度噪声比（CNR）与局部对比度改善率（CIR）提升数倍，从物理层面化解了阻碍后续卷积神经网络正确收敛的最大障碍 </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适应不同算力平台的导丝分割算法内核演进架构</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医学影像中的导丝分割本质上属于极具挑战性的高分辨率语义分割（Semantic Segmentation）与管状结构追踪（Tubular Structure Tracking）的深度交叉学科范畴。为了在保证微米级空间精度的同时，依然能够满足手术实时视觉反馈不低于 30-35 帧每秒的吞吐量要求，系统的算法中枢设计绝不能拘泥于单一的静态模型，而应规划出从基准验证到双阶段检测再到轻量级注意力融合的清晰技术演进图谱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阶段一：基于 nnU-Net 的自适应自动化基线确立</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在研发周期的最初阶段，当面临 CathAction、MOSXAV 等多源异构数据集，且尚未充分摸透不同数据子集中的亮度分布曲线、目标像素所占的真实先验比例等深层统计特性时，盲目尝试各种最新的卷积网络往往事倍功半。此时，强烈建议将 nnU-Net 作为确立系统性能标尺的首选基础框架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nnU-Net 并非一个静态的开源网络结构代码库，而是一个代表了当前医学图像分割最高水平的智能化、自动化语义分割配置系统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。当把准备好的医学影像数据集投喂给该框架时，其内置的探针会首先对数据进行深度的特征抽取与剖析，生成一份独一无二的“数据集指纹（Dataset Fingerprint）”</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。这些指纹信息涵盖了图像的三维/二维空间属性、体素的物理间距、不同类别的像素分布直方图等核心元数据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。基于这些指纹，框架内部复杂的启发式规则库（Heuristic Rules）将自动推演并配置出最适合当前数据的网络拓扑结构（通常是经过极致参数优化的 2D U-Net、3D U-Net 甚至是处理级联残差的高阶 U-Net 变体）、最优的重采样与裁剪策略、动态批次大小（Batch Size）以及特定的后处理连通域滤波算子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在临床医学影像计算领域，由于自然界图像（如自动驾驶街景、人脸）与医疗放射影像之间存在难以跨越的庞大领域鸿沟（Domain Gap），直接调用在 ImageNet 上预训练的现成模型往往会在提取病灶或器械的高频微小特征时遭遇彻底失败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。而在大量包含挑战性病例的基准测试中，nnU-Net 凭借其高度拟合数据的从头训练（Training-from-scratch）策略，始终表现出强悍的统治力，成为了研究人员开发管状结构分割新算法时默认的最强基准线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。通过部署 nnU-Net，研发团队可以在极短的时间内（通常在单节点 GPU 服务器上训练一至数天），迅速探测出现有数据集的分割精度理论上限，为后续的专有算法定制提供清晰的坐标参照系。</w:t>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阶段二：保障实时性的双阶段级联架构（时空 YOLO + HessianNet）</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面对临床常见的 512×512、1024×1024 甚至更高矩阵分辨率的全画幅 X 射线影像，如果按照传统思路将极其庞大的全局图像张量直接完整地送入拥有数千万参数量的高复杂度深度分割网络（如高阶的 Transformer 变体），将导致不可接受的巨量浮点运算开销，彻底阻断了系统实现 35 FPS 实时推理可能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。此外，这还会使网络将大量的感受野浪费在根本不存在器械的广阔边缘背景中，导致虚假特征激活引发大范围的假阳性误判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因此，采用“检测-裁剪-精细分割（Detect-Crop-Segment）”的双阶段级联视觉流水线架构，是目前应对高分辨率实时医学视频处理的最佳工程实践范式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时空融合目标定位层（Spatio-Temporal Guidewire Localization Stage）</w:t>
      </w:r>
      <w:r w:rsidDel="00000000" w:rsidR="00000000" w:rsidRPr="00000000">
        <w:rPr>
          <w:rFonts w:ascii="Google Sans" w:cs="Google Sans" w:eastAsia="Google Sans" w:hAnsi="Google Sans"/>
          <w:color w:val="1f1f1f"/>
          <w:rtl w:val="0"/>
        </w:rPr>
        <w:t xml:space="preserve">： 在管线的入口端，系统部署经过深度剪枝的轻量级目标检测神经网络（例如高度优化的 YOLOv5s 或其后续迭代版本）作为空间边界框探测器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。为了克服极低信噪比下单帧检测容易发生的漏检（False Negatives）问题，该检测阶段不再是孤立地处理单一图像，而是创新性地引入了时间序列依赖性（Temporal Information）。网络会同时摄取当前时间步 </w:t>
      </w:r>
      <w:r w:rsidDel="00000000" w:rsidR="00000000" w:rsidRPr="00000000">
        <w:rPr>
          <w:rFonts w:ascii="Google Sans" w:cs="Google Sans" w:eastAsia="Google Sans" w:hAnsi="Google Sans"/>
          <w:color w:val="1f1f1f"/>
        </w:rPr>
        <w:drawing>
          <wp:inline distB="19050" distT="19050" distL="19050" distR="19050">
            <wp:extent cx="133350" cy="228600"/>
            <wp:effectExtent b="0" l="0" r="0" t="0"/>
            <wp:docPr id="25"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133350" cy="228600"/>
                    </a:xfrm>
                    <a:prstGeom prst="rect"/>
                    <a:ln/>
                  </pic:spPr>
                </pic:pic>
              </a:graphicData>
            </a:graphic>
          </wp:inline>
        </w:drawing>
      </w:r>
      <w:r w:rsidDel="00000000" w:rsidR="00000000" w:rsidRPr="00000000">
        <w:rPr>
          <w:rFonts w:ascii="Google Sans" w:cs="Google Sans" w:eastAsia="Google Sans" w:hAnsi="Google Sans"/>
          <w:color w:val="1f1f1f"/>
          <w:rtl w:val="0"/>
        </w:rPr>
        <w:t xml:space="preserve"> 的图像帧张量，并联合上一时间步 </w:t>
      </w:r>
      <w:r w:rsidDel="00000000" w:rsidR="00000000" w:rsidRPr="00000000">
        <w:rPr>
          <w:rFonts w:ascii="Google Sans" w:cs="Google Sans" w:eastAsia="Google Sans" w:hAnsi="Google Sans"/>
          <w:color w:val="1f1f1f"/>
        </w:rPr>
        <w:drawing>
          <wp:inline distB="19050" distT="19050" distL="19050" distR="19050">
            <wp:extent cx="450950" cy="230272"/>
            <wp:effectExtent b="0" l="0" r="0" t="0"/>
            <wp:docPr id="26"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450950" cy="230272"/>
                    </a:xfrm>
                    <a:prstGeom prst="rect"/>
                    <a:ln/>
                  </pic:spPr>
                </pic:pic>
              </a:graphicData>
            </a:graphic>
          </wp:inline>
        </w:drawing>
      </w:r>
      <w:r w:rsidDel="00000000" w:rsidR="00000000" w:rsidRPr="00000000">
        <w:rPr>
          <w:rFonts w:ascii="Google Sans" w:cs="Google Sans" w:eastAsia="Google Sans" w:hAnsi="Google Sans"/>
          <w:color w:val="1f1f1f"/>
          <w:rtl w:val="0"/>
        </w:rPr>
        <w:t xml:space="preserve"> 的特征激活状态进行融合判决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。通过捕获导丝在连续两帧之间的微小位移矢量，目标检测器能够在全幅图像中高度精准、以几毫秒的延迟框定出包含活跃导丝的密集感兴趣区域（Bounding Box ROI）</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。这一关键的前置拦截机制不仅将后续需要处理的数据规模指数级缩减，更从物理边界上彻底隔绝了远离手术核心区域的其他同材质医疗器械（如体外起搏器、心电图导联线）对分割网络的干扰。</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多尺度特征提取与精细分割层（Guidewire Segmentation Stage）</w:t>
      </w:r>
      <w:r w:rsidDel="00000000" w:rsidR="00000000" w:rsidRPr="00000000">
        <w:rPr>
          <w:rFonts w:ascii="Google Sans" w:cs="Google Sans" w:eastAsia="Google Sans" w:hAnsi="Google Sans"/>
          <w:color w:val="1f1f1f"/>
          <w:rtl w:val="0"/>
        </w:rPr>
        <w:t xml:space="preserve">： 在成功截取局部感兴趣图像块（例如将框定的区域重采样至 224×224 像素的标准化 Patch）之后，这些饱含关键信息的微小图块将被送入专为管状拓扑结构定制的分割网络引擎中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。以前文提及且在近期展现出卓越效能的 HessianNet 框架为例，其网络前端首先由可微分的 Hessian 特征提取层对输入图像进行物理曲率强化 </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。随后，在核心的深度特征编码器-解码器模块（Encoder-Decoder Module）中，引入了革命性的双重自注意力机制块（Dual Self-attention Block）</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。与传统卷积核受限于极其局限的局部感受野不同，自注意力机制能够利用矩阵乘法计算图像中任意两个空间像素点之间的内在相关性权重，建立起穿越整个图像尺度的长程特征依赖（Long-range dependencies）</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这种全局特征聚合能力使得网络即使面对导丝在图像中由于设备低剂量欠采样而出现的明显“视觉物理断裂”现象，依然能够依据前后延伸路径的语义连贯性，在特征图谱中实现断点区域的逻辑连通与补全修复，从而实现抗噪性能的实质性飞跃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阶段三：针对极致临床复杂度的轻量级注意力机制网络（FGA-Net）</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进一步增强系统在处理不同病患时间段、应对极端窗宽窗位参数波动、以及克服不同厂家造影设备（如西门子与飞利浦机型间成像差异）引发的域偏移现象时的鲁棒性，系统的设计可深度融合诸如专注于临床介入场景的 FGA-Net（Focused Gated Attention Network）等前沿架构的精髓理念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该类模型直击临床造影图像中微弱管状目标特征极易流失的核心痛点，在网络深处构筑了两道防线： 第一，双边多尺度特征融合模块（Bilateral Feature Fusion, BGA）的引入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在典型的编码器下采样过程中，网络浅层保留了至关重要的高分辨率空间结构纹理细节（这对于精确刻画导丝直径尺寸不可或缺），而深层则提取出了高度抽象且具有强抗噪性的高阶语义特征（能够识别大范围的形态学连贯并有效抑制骨骼等高频结构噪声）。BGA 模块通过设计复杂的跨层特征对齐与融合机制，将这两股特征流在解码阶段进行了无缝缝合，实现了对导丝宏观走向与微观边界的双重精确捕获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第二，轻量级门控注意力机制（Lightweight Gated Attention, SDA）的部署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。这种机制摒弃了传统的高算力消耗庞大注意力模块矩阵，以极小的浮点计算开销在特征传递路径上安装了动态的信息阀门。SDA 能够根据前向传播的上下文语义，自适应地赋予包含导丝轨迹的像素特征通道极高的流转权重，同时主动削弱甚至彻底阻断非目标背景响应信号的传递通道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。这一创新设计使得该网络在取得极高像素分类精度的同时，依然能够部署在算力预算极为受限的手术室边缘计算设备或机器人控制终端机上，实现了学术前沿与工程约束的完美平衡。</w:t>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颠覆传统的微细管状结构拓扑感知损失函数</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在计算机视觉深度学习的标准化流程中，当模型执行语义分割任务时，由输出概率图与金标准真实掩码之间计算出的数学误差距离——即损失函数（Loss Function），是主导整个网络千万级权重参数反向传播与梯度更新唯一方向标。在常规的器官或病灶分割任务中，二元交叉熵损失（Binary Cross-Entropy Loss, BCE）和标准重叠度 Dice 损失是被毫无争议且最广泛使用的标准目标函数组合 </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。然而，当面临导丝分割这种极端细长管状结构和严重类别失衡的极限任务时，上述传统的损失函数不仅显得捉襟见肘，甚至会引导网络陷入不可救药的训练陷阱。</w:t>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传统像素级与面积级损失函数的致命局限性</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首当其冲的问题出在 二元交叉熵损失（BCE Loss）身上。作为一种纯粹基于独立像素分布的分类惩罚函数，BCE 会机械且平等地遍历图像张量中的每一个像素，独立计算其预测概率与真实标签之间的对数差异：</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531761"/>
            <wp:effectExtent b="0" l="0" r="0" t="0"/>
            <wp:docPr id="27"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5905500" cy="53176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由于在百万像素的高清X射线造影图中，属于导丝前景的真实像素往往不足千分之一，背景像素占据了绝对的统治地位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。在这种极端失衡的概率分布下，BCE 损失函数的梯度表面会变得极度扭曲，网络在训练初期为了迅速最小化整体损失函数值，极易选择一种“偷懒”的局部最优策略——即粗暴地将图像矩阵中所有的像素无一例外地预测为安全的背景类别 0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。尽管这种灾难性的预测会导致所有前景像素的识别彻底失败，但由于背景数量的绝对优势，宏观上的交叉熵损失值依然会快速下降至极低水平，使得整个训练过程陷入停滞。</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为了缓解这一顽疾，研究界广泛采纳了基于面积交并比的 标准 Dice 损失（Standard Dice Loss）作为补充。Dice 系数通过度量两个集合的空间重叠度来直接评估分割形状的一致性：</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449043"/>
            <wp:effectExtent b="0" l="0" r="0" t="0"/>
            <wp:docPr id="28"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5905500" cy="44904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不可否认，Dice 损失通过将关注点转移到重叠区域的几何比例上，在一定程度上有效抵御了背景像素淹没的问题 </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。然而，在导丝分割任务中，单纯关注“体积或面积重叠度（Volumetric Overlap）”暴露出了另一个更为致命的盲区：对拓扑连通性的极度不敏感 </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。假设模型成功预测出了一条完美贴合真实位置、占据数千像素的狭长导丝，但就在该导丝的中段，由于血管钙化阴影的干扰，模型错误地留下了一个宽度仅有 1 像素的横截面未被识别，导致整条导丝从物理连通性上被硬生生切断为互不相干的两截。从纯数学计算的角度来看，这仅仅损失了区区几个像素的重叠面积，对整体的标准 Dice 数值惩罚微不足道，在监控面板上 Dice 分数依然可能高达 0.95 以上的优异成绩；但在真实残酷的临床应用场景中，这区区 1 个像素的拓扑断裂，将导致机器人后续所有基于连续曲线方程的自主路径规划引擎和三维空间器械追踪算法彻底崩溃瘫痪，最终可能酿成灾难性的医疗后果 </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为了彻底攻克这一数学难题，系统核心引擎的构建必须全面引入形状敏感与中心线拓扑感知的新一代损失函数组合 </w:t>
      </w:r>
      <w:r w:rsidDel="00000000" w:rsidR="00000000" w:rsidRPr="00000000">
        <w:rPr>
          <w:rFonts w:ascii="Google Sans" w:cs="Google Sans" w:eastAsia="Google Sans" w:hAnsi="Google Sans"/>
          <w:color w:val="444746"/>
          <w:sz w:val="24"/>
          <w:szCs w:val="24"/>
          <w:vertAlign w:val="superscript"/>
          <w:rtl w:val="0"/>
        </w:rPr>
        <w:t xml:space="preserve">29</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拓扑保持革命：Centerline Dice (clDice) 损失函数与软骨架化机制</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Centerline Dice (clDice) 损失函数的横空出世，被普遍视为近年来在血管、视网膜眼底结构、神经网络突触以及医用导管导丝等管状结构分割领域内最具颠覆性的数学创新之一 </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它的底层设计哲学彻底跳出了面积比对的窠臼，创造性地提出：不去比对粗壮的前景预测掩码与真实掩码之间的整体重合度，而是将它们各自极限压缩提取为单像素宽度的拓扑骨架（Skeleton），去比对网络预测的骨架路径与真实标注掩码之间的空间交叉命中率 </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从数学定义上，对于给定的神经网络浮点预测概率掩码 </w:t>
      </w:r>
      <w:r w:rsidDel="00000000" w:rsidR="00000000" w:rsidRPr="00000000">
        <w:rPr>
          <w:rFonts w:ascii="Google Sans" w:cs="Google Sans" w:eastAsia="Google Sans" w:hAnsi="Google Sans"/>
          <w:color w:val="1f1f1f"/>
        </w:rPr>
        <w:drawing>
          <wp:inline distB="19050" distT="19050" distL="19050" distR="19050">
            <wp:extent cx="217438" cy="226891"/>
            <wp:effectExtent b="0" l="0" r="0" t="0"/>
            <wp:docPr id="29"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217438" cy="226891"/>
                    </a:xfrm>
                    <a:prstGeom prst="rect"/>
                    <a:ln/>
                  </pic:spPr>
                </pic:pic>
              </a:graphicData>
            </a:graphic>
          </wp:inline>
        </w:drawing>
      </w:r>
      <w:r w:rsidDel="00000000" w:rsidR="00000000" w:rsidRPr="00000000">
        <w:rPr>
          <w:rFonts w:ascii="Google Sans" w:cs="Google Sans" w:eastAsia="Google Sans" w:hAnsi="Google Sans"/>
          <w:color w:val="1f1f1f"/>
          <w:rtl w:val="0"/>
        </w:rPr>
        <w:t xml:space="preserve"> 与二值化的真实金标准掩码 </w:t>
      </w:r>
      <w:r w:rsidDel="00000000" w:rsidR="00000000" w:rsidRPr="00000000">
        <w:rPr>
          <w:rFonts w:ascii="Google Sans" w:cs="Google Sans" w:eastAsia="Google Sans" w:hAnsi="Google Sans"/>
          <w:color w:val="1f1f1f"/>
        </w:rPr>
        <w:drawing>
          <wp:inline distB="19050" distT="19050" distL="19050" distR="19050">
            <wp:extent cx="204639" cy="233873"/>
            <wp:effectExtent b="0" l="0" r="0" t="0"/>
            <wp:docPr id="30"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204639" cy="233873"/>
                    </a:xfrm>
                    <a:prstGeom prst="rect"/>
                    <a:ln/>
                  </pic:spPr>
                </pic:pic>
              </a:graphicData>
            </a:graphic>
          </wp:inline>
        </w:drawing>
      </w:r>
      <w:r w:rsidDel="00000000" w:rsidR="00000000" w:rsidRPr="00000000">
        <w:rPr>
          <w:rFonts w:ascii="Google Sans" w:cs="Google Sans" w:eastAsia="Google Sans" w:hAnsi="Google Sans"/>
          <w:color w:val="1f1f1f"/>
          <w:rtl w:val="0"/>
        </w:rPr>
        <w:t xml:space="preserve">，以及通过特定算法从它们之中分别提取出的具有拓扑不变量特性的单像素宽中心线骨架图 </w:t>
      </w:r>
      <w:r w:rsidDel="00000000" w:rsidR="00000000" w:rsidRPr="00000000">
        <w:rPr>
          <w:rFonts w:ascii="Google Sans" w:cs="Google Sans" w:eastAsia="Google Sans" w:hAnsi="Google Sans"/>
          <w:color w:val="1f1f1f"/>
        </w:rPr>
        <w:drawing>
          <wp:inline distB="19050" distT="19050" distL="19050" distR="19050">
            <wp:extent cx="223019" cy="232716"/>
            <wp:effectExtent b="0" l="0" r="0" t="0"/>
            <wp:docPr id="31"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223019" cy="232716"/>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和 </w:t>
      </w:r>
      <w:r w:rsidDel="00000000" w:rsidR="00000000" w:rsidRPr="00000000">
        <w:rPr>
          <w:rFonts w:ascii="Google Sans" w:cs="Google Sans" w:eastAsia="Google Sans" w:hAnsi="Google Sans"/>
          <w:color w:val="1f1f1f"/>
        </w:rPr>
        <w:drawing>
          <wp:inline distB="19050" distT="19050" distL="19050" distR="19050">
            <wp:extent cx="210220" cy="229330"/>
            <wp:effectExtent b="0" l="0" r="0" t="0"/>
            <wp:docPr id="32"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210220" cy="229330"/>
                    </a:xfrm>
                    <a:prstGeom prst="rect"/>
                    <a:ln/>
                  </pic:spPr>
                </pic:pic>
              </a:graphicData>
            </a:graphic>
          </wp:inline>
        </w:drawing>
      </w:r>
      <w:r w:rsidDel="00000000" w:rsidR="00000000" w:rsidRPr="00000000">
        <w:rPr>
          <w:rFonts w:ascii="Google Sans" w:cs="Google Sans" w:eastAsia="Google Sans" w:hAnsi="Google Sans"/>
          <w:color w:val="1f1f1f"/>
          <w:rtl w:val="0"/>
        </w:rPr>
        <w:t xml:space="preserve">，clDice 算法的核心在于精准计算出两大互补的拓扑指标——拓扑精确率（Topology Precision, </w:t>
      </w:r>
      <w:r w:rsidDel="00000000" w:rsidR="00000000" w:rsidRPr="00000000">
        <w:rPr>
          <w:rFonts w:ascii="Google Sans" w:cs="Google Sans" w:eastAsia="Google Sans" w:hAnsi="Google Sans"/>
          <w:color w:val="1f1f1f"/>
        </w:rPr>
        <w:drawing>
          <wp:inline distB="19050" distT="19050" distL="19050" distR="19050">
            <wp:extent cx="181868" cy="229729"/>
            <wp:effectExtent b="0" l="0" r="0" t="0"/>
            <wp:docPr id="1"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81868" cy="229729"/>
                    </a:xfrm>
                    <a:prstGeom prst="rect"/>
                    <a:ln/>
                  </pic:spPr>
                </pic:pic>
              </a:graphicData>
            </a:graphic>
          </wp:inline>
        </w:drawing>
      </w:r>
      <w:r w:rsidDel="00000000" w:rsidR="00000000" w:rsidRPr="00000000">
        <w:rPr>
          <w:rFonts w:ascii="Google Sans" w:cs="Google Sans" w:eastAsia="Google Sans" w:hAnsi="Google Sans"/>
          <w:color w:val="1f1f1f"/>
          <w:rtl w:val="0"/>
        </w:rPr>
        <w:t xml:space="preserve">）和拓扑召回率（Topology Recall, </w:t>
      </w:r>
      <w:r w:rsidDel="00000000" w:rsidR="00000000" w:rsidRPr="00000000">
        <w:rPr>
          <w:rFonts w:ascii="Google Sans" w:cs="Google Sans" w:eastAsia="Google Sans" w:hAnsi="Google Sans"/>
          <w:color w:val="1f1f1f"/>
        </w:rPr>
        <w:drawing>
          <wp:inline distB="19050" distT="19050" distL="19050" distR="19050">
            <wp:extent cx="178742" cy="225780"/>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178742" cy="225780"/>
                    </a:xfrm>
                    <a:prstGeom prst="rect"/>
                    <a:ln/>
                  </pic:spPr>
                </pic:pic>
              </a:graphicData>
            </a:graphic>
          </wp:inline>
        </w:drawing>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拓扑精确率衡量的是预测出的中心线有多少能够精准地回落到真实标签的掩码区域内，从而严厉惩罚向外无序生长的假阳性分支：</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449043"/>
            <wp:effectExtent b="0" l="0" r="0" t="0"/>
            <wp:docPr id="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05500" cy="44904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拓扑召回率则相反，它衡量的是金标准的中心骨架有多少能够被网络的预测掩码所完整覆盖，从而对任何形式的中心骨干路径漏检或断裂施加极高强度的数值惩罚：</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449043"/>
            <wp:effectExtent b="0" l="0" r="0" t="0"/>
            <wp:docPr id="4"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905500" cy="44904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最终统合两者的调和平均数，构成了精妙的 clDice 评价度量体系：</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446088"/>
            <wp:effectExtent b="0" l="0" r="0" t="0"/>
            <wp:docPr id="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05500" cy="4460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深层软骨架化（Soft Skeletonization）技术在 PyTorch 平台上的精湛工程实现</w:t>
      </w:r>
      <w:r w:rsidDel="00000000" w:rsidR="00000000" w:rsidRPr="00000000">
        <w:rPr>
          <w:rFonts w:ascii="Google Sans" w:cs="Google Sans" w:eastAsia="Google Sans" w:hAnsi="Google Sans"/>
          <w:color w:val="1f1f1f"/>
          <w:rtl w:val="0"/>
        </w:rPr>
        <w:t xml:space="preserve">： 在深度神经网络基于反向传播的优化体系中，任何嵌入到损失函数内的操作模块都必须严格保证计算图梯度的平滑与连续可微性。然而，传统的计算机图形学形态学骨架提取算子（如基于迭代查表的细化算法或距离变换的分水岭算法）完全是离散的布尔逻辑运算或阶跃的拓扑剥离过程，梯度流一旦经过这些模块就会发生灾难性的阻断不可导现象。 为了将极为强大的 clDice 真正植入到神经网络的端到端训练引擎中，研究团队利用巧妙的数学近似，提出了一种完全可微的“软骨架（Soft Skeleton）”张量计算技术 </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。在系统源码库（如 soft_skeleton.py 等底层脚本中）的具体工程实现上，开发人员利用了深度学习底层张量框架（如 PyTorch 与 TensorFlow 的 2D/3D 张量计算 API）中自带的池化层算子，构建了一套形态学运算的平滑代理机制 </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具体而言，传统的形态学膨胀（Dilation）操作被核大小为 </w:t>
      </w:r>
      <w:r w:rsidDel="00000000" w:rsidR="00000000" w:rsidRPr="00000000">
        <w:rPr>
          <w:rFonts w:ascii="Google Sans" w:cs="Google Sans" w:eastAsia="Google Sans" w:hAnsi="Google Sans"/>
          <w:color w:val="1f1f1f"/>
        </w:rPr>
        <w:drawing>
          <wp:inline distB="19050" distT="19050" distL="19050" distR="19050">
            <wp:extent cx="409872" cy="219234"/>
            <wp:effectExtent b="0" l="0" r="0" t="0"/>
            <wp:docPr id="6"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409872" cy="21923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并设置特定步长的最大池化层（Max Pooling）所精确等效；而对于缺乏直接实现算子的形态学腐蚀（Erosion）操作，则通过对输入概率张量取负号信号翻转后，再应用最大池化，最后再将其数值翻转回来的最小池化（Min Pooling）逻辑进行巧妙代理 </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通过在网络输出层的后端串联一系列包含特定迭代次数阈值循环的这种连续最大池化与最小池化组合操作，网络可以在连续不断开辟张量梯度的同时，像剥洋葱一样逐层剥离出概率场的边缘冗余，最终萃取出一张完整保留导丝连续几何中心线的可微浮点概率图谱 </w:t>
      </w:r>
      <w:r w:rsidDel="00000000" w:rsidR="00000000" w:rsidRPr="00000000">
        <w:rPr>
          <w:rFonts w:ascii="Google Sans" w:cs="Google Sans" w:eastAsia="Google Sans" w:hAnsi="Google Sans"/>
          <w:color w:val="1f1f1f"/>
        </w:rPr>
        <w:drawing>
          <wp:inline distB="19050" distT="19050" distL="19050" distR="19050">
            <wp:extent cx="240879" cy="231244"/>
            <wp:effectExtent b="0" l="0" r="0" t="0"/>
            <wp:docPr id="7"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240879" cy="23124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color w:val="444746"/>
          <w:sz w:val="24"/>
          <w:szCs w:val="24"/>
          <w:vertAlign w:val="superscript"/>
          <w:rtl w:val="0"/>
        </w:rPr>
        <w:t xml:space="preserve">28</w:t>
      </w:r>
      <w:r w:rsidDel="00000000" w:rsidR="00000000" w:rsidRPr="00000000">
        <w:rPr>
          <w:rFonts w:ascii="Google Sans" w:cs="Google Sans" w:eastAsia="Google Sans" w:hAnsi="Google Sans"/>
          <w:color w:val="1f1f1f"/>
          <w:rtl w:val="0"/>
        </w:rPr>
        <w:t xml:space="preserve">。这一具有里程碑意义的突破，使得网络优化引擎（如 Adam 优化器）能够第一次真正在数学层面上直接顺着求导公式“看到”那些导致结构断裂的病态预测分布，并通过大幅调整卷积核权重来予以坚决惩罚消除 </w:t>
      </w:r>
      <w:r w:rsidDel="00000000" w:rsidR="00000000" w:rsidRPr="00000000">
        <w:rPr>
          <w:rFonts w:ascii="Google Sans" w:cs="Google Sans" w:eastAsia="Google Sans" w:hAnsi="Google Sans"/>
          <w:color w:val="444746"/>
          <w:sz w:val="24"/>
          <w:szCs w:val="24"/>
          <w:vertAlign w:val="superscript"/>
          <w:rtl w:val="0"/>
        </w:rPr>
        <w:t xml:space="preserve">28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Centerline Boundary Dice (cbDice) 前沿演进与综合网络训练策略</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科学探索永无止境。随着对复杂医学形态学分析的不断深入，研究者发现尽管 clDice 在维系全局拓扑不破损方面取得了巨大成功，但它在处理具有急剧管径宽窄变化的任务时（即临床中常见的血管主干道与末端微小毛细血管、粗大输送导管与极细微引导导丝直径并存的极端直径不平衡场景），由于其评价指标完全被收缩到了一维骨架上，极易产生只保连通不管粗细的副作用，并且对极其微小的亚像素级平移变形表现出了过度的神经敏感性 </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作为最新的理论演进变体，Centerline Boundary Dice (cbDice) 损失框架应运而生，并在诸如 MICCAI TopCoW 等顶尖管状分割挑战赛中大放异彩 </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。cbDice 创造性地在 clDice 的拓扑框架内部深度融合了复杂的边界感知（Boundary-aware）参数特征 </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。具体机制上，cbDice 设计了一套基于平滑掩码距离场变换（Mask-distance-based approach）的边界交并差算法（B-DoU），更令人称奇的是，它将血管骨架在剥离过程中的局部微小半径信息（Radius Information）以前向馈送的方式直接映射融合到了最终的损失计算张量公式中 </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这不仅确保了网络在疯狂拉扯延伸网络拓扑分支时能均匀适应不同物理维度的宽度剧变，保持了极细导丝末端头端分支发育的平衡性与抗断裂韧性，更使得网络在处理粗大基底区域时能精确勾勒出平滑且符合解剖学流体力学特性的真实几何边缘厚度 </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。对于临床真实应用而言，极其精确的直径尺寸还原同样是主刀医师借此判断该型号导丝是否有物理空间能够顺利穿越冠状动脉极度狭窄斑块区的核心评估标准之一。</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底层网络训练的极限工程压榨与加速策略</w:t>
      </w:r>
      <w:r w:rsidDel="00000000" w:rsidR="00000000" w:rsidRPr="00000000">
        <w:rPr>
          <w:rFonts w:ascii="Google Sans" w:cs="Google Sans" w:eastAsia="Google Sans" w:hAnsi="Google Sans"/>
          <w:color w:val="1f1f1f"/>
          <w:rtl w:val="0"/>
        </w:rPr>
        <w:t xml:space="preserve">： 优秀的拓扑损失算法公式设计必须辅以扎实的底层工程加速训练方案，才能在动辄 T 级别的高维张量医学数据洪流中达到最快最佳的损失收敛边界。由于导丝在不同患者体内X光投影下呈现的物理形态具有极其复杂的多变性（如迂曲的弯曲度、大跨度的空间扭曲朝向），且其特征极易被造影机大倾角悬臂（C-arm）的机械旋转透视角度所直接影响，因此在训练前期的数据加载流水线管线（Data Loader Pipeline）上引入暴力的在线数据增广矩阵（On-the-fly Data Augmentations）是坚决不可妥协的必须流程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这些增广矩阵应至少涵盖三大类操作族：空间几何硬变换组（包含用于抗机架旋转角度扰动的大角度 Random Rotation，用于模拟导丝穿行在复杂冠状动脉或脑血管中发生的非线性柔性弯曲变形的 Elastic Deformation 弹性场变换，以及随机多尺度缩放裁切与 Random Affine 仿射平移）；图像物理材质伪影合成组（包含为了模拟老旧球管退化导致的随机噪声颗粒植入 Random Noise、焦距偏差引发的重度高斯模糊 Random Blur 等）；以及为了抵抗不用放射科厂商私有图像调优算法差异的色彩曲线对抗组（诸如全局随机对比度极限抖动 Random Contrast、局部过曝遮挡、以及非线性的伽马亮度曲线极限偏转）。正是通过在数以万计的 Epoch 训练周期中反复施加这些无休止的地狱级数据破坏操作，网络才能真正摆脱对某一特定医疗设备或单一医院内部局域网物理成像素质的虚假过拟合，蜕变出在跨院区、跨品牌硬件迁移时坚不可摧的底层鲁棒特征抽取本能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而在具体计算硬件底层的榨取上，为了在坚持摄入完整保留了极微小特征的 512×512 甚至 1024×1024 物理高分辨率输入矩阵的同时，尽可能地扩展前向批次吞吐量（Batch Size）以平滑 Batch Normalization 层的剧烈方差波动，强烈建议在 PyTorch 底层工程重构中使用自动混合精度训练架构引擎（Automatic Mixed Precision, AMP）</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借助 torch.cuda.amp.autocast() 上下文管理器与动态梯度缩放放大器 GradScaler()，开发人员可以强制系统调度器在遇到计算密集型的大规模多维张量卷积矩阵乘法时自动降频至 float16 半浮点精度并行执行，而将极其敏感的交叉熵损失累加计算与微小学习率控制下的梯度回传矩阵反向传播流程严格守护在 float32 单精度算术逻辑单元内 </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。这种粗中有细的极限压榨策略，不仅使得原本捉襟见肘的显存占用空间瞬间坍缩缩减约 50%，更通过完美激活现代 NVIDIA GPU 架构深处的特定张量加速核心（Tensor Core），将每一个批次的训练绝对耗时暴降近一半以上。计算资源的指数级解放，直接赋予了系统研发团队在极有限的关键研发时间窗口内，启动海量服务器集群进行广域超参数网格暴力搜索的最强底气。</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在组合损失函数的工程化调参艺术中，鉴于单兵作战的任何一种损失设计都存在盲区，系统应当彻底转向部署高度动态的混合损失（Hybrid Loss）巡航防御策略：</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Pr>
        <w:drawing>
          <wp:inline distB="19050" distT="19050" distL="19050" distR="19050">
            <wp:extent cx="5905500" cy="324965"/>
            <wp:effectExtent b="0" l="0" r="0" t="0"/>
            <wp:docPr id="8"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5905500" cy="32496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工程的最佳实践路径如下：在网络权重完全随机初始化的训练初期阶段，赋予负责宏观区域聚类的 </w:t>
      </w:r>
      <w:r w:rsidDel="00000000" w:rsidR="00000000" w:rsidRPr="00000000">
        <w:rPr>
          <w:rFonts w:ascii="Google Sans" w:cs="Google Sans" w:eastAsia="Google Sans" w:hAnsi="Google Sans"/>
          <w:color w:val="1f1f1f"/>
        </w:rPr>
        <w:drawing>
          <wp:inline distB="19050" distT="19050" distL="19050" distR="19050">
            <wp:extent cx="427657" cy="228084"/>
            <wp:effectExtent b="0" l="0" r="0" t="0"/>
            <wp:docPr id="9"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427657" cy="22808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和 </w:t>
      </w:r>
      <w:r w:rsidDel="00000000" w:rsidR="00000000" w:rsidRPr="00000000">
        <w:rPr>
          <w:rFonts w:ascii="Google Sans" w:cs="Google Sans" w:eastAsia="Google Sans" w:hAnsi="Google Sans"/>
          <w:color w:val="1f1f1f"/>
        </w:rPr>
        <w:drawing>
          <wp:inline distB="19050" distT="19050" distL="19050" distR="19050">
            <wp:extent cx="405929" cy="226565"/>
            <wp:effectExtent b="0" l="0" r="0" t="0"/>
            <wp:docPr id="10"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405929" cy="226565"/>
                    </a:xfrm>
                    <a:prstGeom prst="rect"/>
                    <a:ln/>
                  </pic:spPr>
                </pic:pic>
              </a:graphicData>
            </a:graphic>
          </wp:inline>
        </w:drawing>
      </w:r>
      <w:r w:rsidDel="00000000" w:rsidR="00000000" w:rsidRPr="00000000">
        <w:rPr>
          <w:rFonts w:ascii="Google Sans" w:cs="Google Sans" w:eastAsia="Google Sans" w:hAnsi="Google Sans"/>
          <w:color w:val="1f1f1f"/>
          <w:rtl w:val="0"/>
        </w:rPr>
        <w:t xml:space="preserve"> 较大的参数权重（例如配置 </w:t>
      </w:r>
      <w:r w:rsidDel="00000000" w:rsidR="00000000" w:rsidRPr="00000000">
        <w:rPr>
          <w:rFonts w:ascii="Google Sans" w:cs="Google Sans" w:eastAsia="Google Sans" w:hAnsi="Google Sans"/>
          <w:color w:val="1f1f1f"/>
        </w:rPr>
        <w:drawing>
          <wp:inline distB="19050" distT="19050" distL="19050" distR="19050">
            <wp:extent cx="2039388" cy="228716"/>
            <wp:effectExtent b="0" l="0" r="0" t="0"/>
            <wp:docPr id="18"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2039388" cy="228716"/>
                    </a:xfrm>
                    <a:prstGeom prst="rect"/>
                    <a:ln/>
                  </pic:spPr>
                </pic:pic>
              </a:graphicData>
            </a:graphic>
          </wp:inline>
        </w:drawing>
      </w:r>
      <w:r w:rsidDel="00000000" w:rsidR="00000000" w:rsidRPr="00000000">
        <w:rPr>
          <w:rFonts w:ascii="Google Sans" w:cs="Google Sans" w:eastAsia="Google Sans" w:hAnsi="Google Sans"/>
          <w:color w:val="1f1f1f"/>
          <w:rtl w:val="0"/>
        </w:rPr>
        <w:t xml:space="preserve">），促使网络抛开细枝末节，依靠暴力比对像素重合面积快速在广袤的解空间平面中下潜并收敛聚拢到一个大致相对准确的分割主干区域粗轮廓之上；而在训练周期平稳推进至中后期阶段，当基础血管轮廓不再发生大规模震荡时，通过精妙的退火调度算法平滑且成倍地拉升属于纯粹拓扑结构惩罚的 </w:t>
      </w:r>
      <w:r w:rsidDel="00000000" w:rsidR="00000000" w:rsidRPr="00000000">
        <w:rPr>
          <w:rFonts w:ascii="Google Sans" w:cs="Google Sans" w:eastAsia="Google Sans" w:hAnsi="Google Sans"/>
          <w:color w:val="1f1f1f"/>
        </w:rPr>
        <w:drawing>
          <wp:inline distB="19050" distT="19050" distL="19050" distR="19050">
            <wp:extent cx="502816" cy="227690"/>
            <wp:effectExtent b="0" l="0" r="0" t="0"/>
            <wp:docPr id="20"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502816" cy="227690"/>
                    </a:xfrm>
                    <a:prstGeom prst="rect"/>
                    <a:ln/>
                  </pic:spPr>
                </pic:pic>
              </a:graphicData>
            </a:graphic>
          </wp:inline>
        </w:drawing>
      </w:r>
      <w:r w:rsidDel="00000000" w:rsidR="00000000" w:rsidRPr="00000000">
        <w:rPr>
          <w:rFonts w:ascii="Google Sans" w:cs="Google Sans" w:eastAsia="Google Sans" w:hAnsi="Google Sans"/>
          <w:color w:val="1f1f1f"/>
          <w:rtl w:val="0"/>
        </w:rPr>
        <w:t xml:space="preserve"> 的权重参数，从而通过严酷的重构压力，强行勒令网络内部各层激活神经元去修补被遗漏的断裂带微小坑洞、填补连接并消除散落在周围空隙中令人抓狂的微小骨骼噪点假阳性伪影群 </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。在工程代码的具体编写实践中，为了在复杂的 PyTorch 架构内无缝串联这种多维度的拓扑演算，还需要确保分类端输出层与损失框架计算器之间数据流的完全可微贯通，即采用类似于 y_pred_binary = torch.softmax(y_pred_binary, 1) 或结合平滑极值提取 torch.max 等可微分二值化伪标签（Differentiable Binarization）策略替代生硬的阶跃 Argmax 函数断流，确保深埋在损失最底部的梯度能量波能够毫无损耗地倒灌冲刷到网络最顶端的每一个参数单元内 </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多维度高阶系统评估监控体系与最终后处理重构机制</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在严肃的医学人工智能工业级开发领域，如果仅仅依赖一个干瘪的总体准确率数字作为汇报成绩，不仅是对物理复杂性的极度蔑视，更不可能通过极为严苛的医学论理与器械注册认证机构（如 FDA 或 NMPA）的技术审查逻辑。评价一个医疗级高精度导丝视觉分割系统的绝对战力优劣，绝不能依赖单一视角的切片数据，而必须在研发阶段就从底向上构建一套包含宏观区域重合度、微观像素分类精度下限、空间边界刚体形态最大容忍误差、抽象结构拓扑网络一致性以及冷酷的物理硬件实时计算吞吐量在内的庞大立体多维多点打分指标追踪体系 </w:t>
      </w:r>
      <w:r w:rsidDel="00000000" w:rsidR="00000000" w:rsidRPr="00000000">
        <w:rPr>
          <w:rFonts w:ascii="Google Sans" w:cs="Google Sans" w:eastAsia="Google Sans" w:hAnsi="Google Sans"/>
          <w:color w:val="444746"/>
          <w:sz w:val="24"/>
          <w:szCs w:val="24"/>
          <w:vertAlign w:val="superscript"/>
          <w:rtl w:val="0"/>
        </w:rPr>
        <w:t xml:space="preserve">27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评估追踪维度</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核心量化指标名称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在深度学术前沿与临床工程交叉落地中的极限意义解析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底层像素绝对分类精度极限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受试者工作特征曲线下面积 (AUC) 与 Macro-F1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宏观 Accuracy 在面临背景占比高达 99% 的导丝任务中具有极其恶劣的数据欺骗性，系统强制必须结合衡量二分类阈值容忍漂移度的 AUC，以及综合查准率与查全率平衡基线的 Macro-F1，作为拒绝劣质网络底盘模型入库的红线防守指标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全局体积区域物理重合度</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标准戴斯相似系数 (Dice Coefficient, DSC) / 雅卡尔指数 (IoU)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传统医学图像重构圣杯指标。严格衡量模型所输出的前景预测集合与人类资深医生手绘真实金标准掩码集合在平面二维空间中的面积交集绝对重叠比例。在血管与导丝类分割任务中，如果微弱目标的 DSC 能逼近 0.70 上方，已属能精确复原物理物理直径宽度的顶尖网络形态表现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刚性形态学边界误差极限极值</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豪斯多夫距离极值界限 (Hausdorff Distance, HD &amp; HD95)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与宽容大度的均值分布类评估截然相反，HD 测量指标是专门用来在二维空间度量两组散点轮廓曲线组在局部微观突变点发生的最大绝对距离偏差。该指标通过搜索寻找最糟糕、错得最离谱的点（尤其是去除 5% 孤立异常飞点的 HD95），对网络任何形式的严重边界溢出溃疡、或是将邻近起搏器导线生硬误判为导丝假肢的致命灾难性低级错误，施加令人绝望的惩罚权重曝光 </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网络结构拓扑逻辑连贯一致性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拓扑中心线连贯度指数 (Centerline Dice, clDice)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如前长篇论述所述，这是剥离了浮肿皮肉后针对导丝系统底层最核心生命力的最高检阅指标。当一张残缺断裂的导丝图像使得表面辉煌的 Dice 数值只掉落 0.05 的细微波澜时，其 clDice 分数将会因为连通分量的断裂引发雪崩式腰斩下跌。只有在测试集取得超越同行的超高 clDice 的深度神经网络骨干，才被允许交由手术室机器人的后段逻辑寻路引擎直接对接调用 </w:t>
            </w:r>
            <w:r w:rsidDel="00000000" w:rsidR="00000000" w:rsidRPr="00000000">
              <w:rPr>
                <w:rFonts w:ascii="Google Sans" w:cs="Google Sans" w:eastAsia="Google Sans" w:hAnsi="Google Sans"/>
                <w:color w:val="444746"/>
                <w:sz w:val="24"/>
                <w:szCs w:val="24"/>
                <w:vertAlign w:val="superscript"/>
                <w:rtl w:val="0"/>
              </w:rPr>
              <w:t xml:space="preserve">27</w:t>
            </w:r>
            <w:r w:rsidDel="00000000" w:rsidR="00000000" w:rsidRPr="00000000">
              <w:rPr>
                <w:rFonts w:ascii="Google Sans" w:cs="Google Sans" w:eastAsia="Google Sans" w:hAnsi="Google Sans"/>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手术室现场端到端工程生存效能</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硬件推理帧率 (Inference FPS) 吞吐量</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实验室里的算力神话必须在受限环境落地。在实际动态血管介入流水线操作中，从采集设备图像落盘开始，历经全套复杂前后处理强化过滤模块、神经网络前向传播，到输出结果在显示屏幕呈现渲染结束，这中间完整的管线流转必须死死锚定在系统设计之初约定的 &gt;30-35 FPS 处理基准吞吐线之上，否则视觉信息与医生飞快转动的手部推挽力度指令之间哪怕产生毫秒级的信息割裂迟滞反馈，都有戳破大动脉导致大出血致死的手术风险 </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shd w:fill="auto" w:val="clear"/>
                <w:rtl w:val="0"/>
              </w:rPr>
              <w:t xml:space="preserve">。</w:t>
            </w:r>
          </w:p>
        </w:tc>
      </w:tr>
    </w:tbl>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经历上述复杂且精密的神经网络内部预测张量演化后，即便是世界上最精密的模型大脑，在输出概率分布图的热力平面上也会存在些许游离的离散假阳性微小浮点或局部带有毛刺的不平滑边界。为了在将信号发送给极其严谨的手术机器人导航模块之前确保绝对的信息纯净度，系统管线末端必须外挂接入坚固的数理后处理滤网重构机制。 其一，部署基于严密几何代数的</w:t>
      </w:r>
      <w:r w:rsidDel="00000000" w:rsidR="00000000" w:rsidRPr="00000000">
        <w:rPr>
          <w:rFonts w:ascii="Google Sans" w:cs="Google Sans" w:eastAsia="Google Sans" w:hAnsi="Google Sans"/>
          <w:b w:val="1"/>
          <w:bCs w:val="1"/>
          <w:color w:val="1f1f1f"/>
          <w:rtl w:val="0"/>
        </w:rPr>
        <w:t xml:space="preserve">全局最大连通域面积滤波分析器（Connected Component Analysis Filter）</w:t>
      </w:r>
      <w:r w:rsidDel="00000000" w:rsidR="00000000" w:rsidRPr="00000000">
        <w:rPr>
          <w:rFonts w:ascii="Google Sans" w:cs="Google Sans" w:eastAsia="Google Sans" w:hAnsi="Google Sans"/>
          <w:color w:val="1f1f1f"/>
          <w:rtl w:val="0"/>
        </w:rPr>
        <w:t xml:space="preserve">。这一层级主要是利用导丝作为物理实体必然会在二维投影上保持连片存在这一不可撼动的客观空间先验物理真理规律。通过简单的阈值算子过滤操作，系统干净利落地将全图范围内因为偶然的骨骼极高频边缘反射、横膈膜起伏边缘残留乃至细微灰尘伪影所意外激活的那些完全孤立分散的极小面积的高亮像素污染病灶块彻底铲除 </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其二，也就是将整个系统效能提升至可供工业机器人直接消费层级的最终王冠级技术——</w:t>
      </w:r>
      <w:r w:rsidDel="00000000" w:rsidR="00000000" w:rsidRPr="00000000">
        <w:rPr>
          <w:rFonts w:ascii="Google Sans" w:cs="Google Sans" w:eastAsia="Google Sans" w:hAnsi="Google Sans"/>
          <w:b w:val="1"/>
          <w:bCs w:val="1"/>
          <w:color w:val="1f1f1f"/>
          <w:rtl w:val="0"/>
        </w:rPr>
        <w:t xml:space="preserve">集成基于图论的最短路径搜索重构框架（诸如 SkeletonDijkstra 算法模块或类似 GraphMorph 图解网络提取库）</w:t>
      </w:r>
      <w:r w:rsidDel="00000000" w:rsidR="00000000" w:rsidRPr="00000000">
        <w:rPr>
          <w:rFonts w:ascii="Google Sans" w:cs="Google Sans" w:eastAsia="Google Sans" w:hAnsi="Google Sans"/>
          <w:color w:val="1f1f1f"/>
          <w:rtl w:val="0"/>
        </w:rPr>
        <w:t xml:space="preserve">。在已经获取了一张去噪完毕、拓扑逻辑高度准确的中心线骨架软掩码概率图的前提下，该层级算法通过在平面网格图中赋予每个像素与其预测概率相反向对应的通过阻力代价惩罚函数，利用无向图加权图论搜索逻辑引擎寻找能量极小值的连通像素路径走廊。这一核心步骤实现了信息的终极蜕变：它彻底瓦解压制了图像平面上所有无意义、无方向的离散发散型像素群假阳性死胡同干扰分支，将混沌的神经网络二维概率场点阵计算结果，从底层物理结构上直接重新编译解析、升维转化为一套完美连贯、几何曲线绝对平滑、且能够在数学上通过多元方程极易精确参数化表征的三维空间候选坐标数据控制链条（Pixel Chains/Curve Equation Coordinates）</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。这一数据格式的转变，真正打通了深度学习视觉系统从“看到画面”向执行系统的“机械臂伺服控制抓握指令集”传输的最终闭环壁垒。</w:t>
      </w:r>
    </w:p>
    <w:p w:rsidR="00000000" w:rsidDel="00000000" w:rsidP="00000000" w:rsidRDefault="00000000" w:rsidRPr="00000000" w14:paraId="0000006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Web端系统交互方案与工程化部署</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针对“初步只要能分割识别导丝就好”的系统核心目标，为了方便临床医生、开发人员直观地验证分割算法的效果并提供可视化的标注纠错界面，系统需要建设一套轻量、高效的Web端原型。以下为前后端交互架构、相关代码及参数建议，并提供了方便挂载默认测试视频流的方法。</w:t>
      </w:r>
    </w:p>
    <w:p w:rsidR="00000000" w:rsidDel="00000000" w:rsidP="00000000" w:rsidRDefault="00000000" w:rsidRPr="00000000" w14:paraId="0000006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前后端架构设计与实时视频交互逻辑</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为了实现实时的（或准实时的）视频逐帧分割反馈，标准的HTTP Request/Response模型由于协议开销过大并不适用。因此需要使用 WebSocket 或流式传输协议进行前后端协同交互。</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后端（AI推理引擎）</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建议采用 FastAPI 框架承载 Python 环境下的模型推理。利用 ONNX Runtime 导出 PyTorch 训练好的导丝分割模型（如 SAM-Med2D 的微调版或 HessianNet），利用 torch.cuda.amp.autocast 与 TensorRT 引擎加速。</w:t>
      </w:r>
    </w:p>
    <w:p w:rsidR="00000000" w:rsidDel="00000000" w:rsidP="00000000" w:rsidRDefault="00000000" w:rsidRPr="00000000" w14:paraId="00000069">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975" w:hanging="360"/>
      </w:pPr>
      <w:r w:rsidDel="00000000" w:rsidR="00000000" w:rsidRPr="00000000">
        <w:rPr>
          <w:rFonts w:ascii="Google Sans" w:cs="Google Sans" w:eastAsia="Google Sans" w:hAnsi="Google Sans"/>
          <w:b w:val="1"/>
          <w:bCs w:val="1"/>
          <w:color w:val="1f1f1f"/>
          <w:rtl w:val="0"/>
        </w:rPr>
        <w:t xml:space="preserve">核心交互逻辑</w:t>
      </w:r>
      <w:r w:rsidDel="00000000" w:rsidR="00000000" w:rsidRPr="00000000">
        <w:rPr>
          <w:rFonts w:ascii="Google Sans" w:cs="Google Sans" w:eastAsia="Google Sans" w:hAnsi="Google Sans"/>
          <w:color w:val="1f1f1f"/>
          <w:rtl w:val="0"/>
        </w:rPr>
        <w:t xml:space="preserve">：前端在浏览器内以固定帧率（如 10-15 FPS以防网络拥堵）提取 &lt;video&gt; 标签内的当前帧并转化为 Base64 编码，通过 WebSocket wss:// 发送给 FastAPI 后端；后端快速推理出前景掩码（Mask）与边界框（Bbox），将坐标数组或掩码的 RLE（Run-Length Encoding）编码传回前端。</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前端（可视化渲染面板）</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面对医学影像的Web化渲染，有两种主流实现路径：</w:t>
      </w:r>
    </w:p>
    <w:p w:rsidR="00000000" w:rsidDel="00000000" w:rsidP="00000000" w:rsidRDefault="00000000" w:rsidRPr="00000000" w14:paraId="0000006B">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990" w:hanging="360"/>
      </w:pPr>
      <w:r w:rsidDel="00000000" w:rsidR="00000000" w:rsidRPr="00000000">
        <w:rPr>
          <w:rFonts w:ascii="Google Sans" w:cs="Google Sans" w:eastAsia="Google Sans" w:hAnsi="Google Sans"/>
          <w:b w:val="1"/>
          <w:bCs w:val="1"/>
          <w:color w:val="1f1f1f"/>
          <w:rtl w:val="0"/>
        </w:rPr>
        <w:t xml:space="preserve">轻量级纯 Canvas 方案</w:t>
      </w:r>
      <w:r w:rsidDel="00000000" w:rsidR="00000000" w:rsidRPr="00000000">
        <w:rPr>
          <w:rFonts w:ascii="Google Sans" w:cs="Google Sans" w:eastAsia="Google Sans" w:hAnsi="Google Sans"/>
          <w:color w:val="1f1f1f"/>
          <w:rtl w:val="0"/>
        </w:rPr>
        <w:t xml:space="preserve">：直接利用 HTML5 &lt;canvas&gt; 标签覆盖在 &lt;video&gt; 元素上。通过 requestAnimationFrame 循环监听 WebSocket 返回的掩码多边形顶点，利用 context.fill() 配合透明度（如 rgba(0,255,0,0.4)）实时绘制导丝高亮图层。</w:t>
      </w:r>
    </w:p>
    <w:p w:rsidR="00000000" w:rsidDel="00000000" w:rsidP="00000000" w:rsidRDefault="00000000" w:rsidRPr="00000000" w14:paraId="0000006C">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990" w:hanging="360"/>
      </w:pPr>
      <w:r w:rsidDel="00000000" w:rsidR="00000000" w:rsidRPr="00000000">
        <w:rPr>
          <w:rFonts w:ascii="Google Sans" w:cs="Google Sans" w:eastAsia="Google Sans" w:hAnsi="Google Sans"/>
          <w:b w:val="1"/>
          <w:bCs w:val="1"/>
          <w:color w:val="1f1f1f"/>
          <w:rtl w:val="0"/>
        </w:rPr>
        <w:t xml:space="preserve">专业级 CornerstoneJS 方案</w:t>
      </w:r>
      <w:r w:rsidDel="00000000" w:rsidR="00000000" w:rsidRPr="00000000">
        <w:rPr>
          <w:rFonts w:ascii="Google Sans" w:cs="Google Sans" w:eastAsia="Google Sans" w:hAnsi="Google Sans"/>
          <w:color w:val="1f1f1f"/>
          <w:rtl w:val="0"/>
        </w:rPr>
        <w:t xml:space="preserve">：如果系统未来准备接入医院 PACS 系统读取标准 DICOM 文件，强烈建议直接使用 @cornerstonejs/tools。它原生地提供了 ViewportType.VIDEO 用于渲染医学视频，且具有内置的 SplineROITool 和 Video Labelmap Based Segmentation 等工具箱，允许医生利用鼠标交互绘制样条曲线或者利用网络进行多边形区域高亮。</w:t>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开源代码库与核心参数参考</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在开发初期，可以直接移植以下被广泛验证的医学开源代码库与配置参数，大幅缩短研发周期：</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基础分割模型参考（通用型医学图像基座模型）</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可基于 SAM-Med2D (Segment Anything Model for Medical Image Analysis) 仓库。该模型适配了医疗影像，提供了丰富的预训练权重。</w:t>
      </w:r>
    </w:p>
    <w:p w:rsidR="00000000" w:rsidDel="00000000" w:rsidP="00000000" w:rsidRDefault="00000000" w:rsidRPr="00000000" w14:paraId="00000070">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975" w:hanging="360"/>
      </w:pPr>
      <w:r w:rsidDel="00000000" w:rsidR="00000000" w:rsidRPr="00000000">
        <w:rPr>
          <w:rFonts w:ascii="Google Sans" w:cs="Google Sans" w:eastAsia="Google Sans" w:hAnsi="Google Sans"/>
          <w:b w:val="1"/>
          <w:bCs w:val="1"/>
          <w:color w:val="1f1f1f"/>
          <w:rtl w:val="0"/>
        </w:rPr>
        <w:t xml:space="preserve">推理建议配置</w:t>
      </w:r>
      <w:r w:rsidDel="00000000" w:rsidR="00000000" w:rsidRPr="00000000">
        <w:rPr>
          <w:rFonts w:ascii="Google Sans" w:cs="Google Sans" w:eastAsia="Google Sans" w:hAnsi="Google Sans"/>
          <w:color w:val="1f1f1f"/>
          <w:rtl w:val="0"/>
        </w:rPr>
        <w:t xml:space="preserve">：将其提取器导出为 ONNX 格式（sam-med2d_b.encoder.onnx 和 sam-med2d_b.decoder.onnx），在 onnxruntime 推理中支持单点（1 pt）、多点（3 pts、5 pts）和 Bbox（边界框）提示式分割。</w:t>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拓扑保持核心代码（clDice Soft Skeleton）</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要解决导丝断裂的痛点，建议引入 clDice 作者开源在 GitHub 上的 soft_skeleton.py 脚本。</w:t>
      </w:r>
    </w:p>
    <w:p w:rsidR="00000000" w:rsidDel="00000000" w:rsidP="00000000" w:rsidRDefault="00000000" w:rsidRPr="00000000" w14:paraId="00000072">
      <w:pPr>
        <w:numPr>
          <w:ilvl w:val="1"/>
          <w:numId w:val="7"/>
        </w:numPr>
        <w:pBdr>
          <w:top w:space="0" w:sz="0" w:val="nil"/>
          <w:left w:space="0" w:sz="0" w:val="nil"/>
          <w:bottom w:space="0" w:sz="0" w:val="nil"/>
          <w:right w:space="0" w:sz="0" w:val="nil"/>
          <w:between w:space="0" w:sz="0" w:val="nil"/>
        </w:pBdr>
        <w:shd w:fill="auto" w:val="clear"/>
        <w:spacing w:after="120" w:line="275.9999942779541" w:lineRule="auto"/>
        <w:ind w:left="975" w:hanging="360"/>
      </w:pPr>
      <w:r w:rsidDel="00000000" w:rsidR="00000000" w:rsidRPr="00000000">
        <w:rPr>
          <w:rFonts w:ascii="Google Sans" w:cs="Google Sans" w:eastAsia="Google Sans" w:hAnsi="Google Sans"/>
          <w:b w:val="1"/>
          <w:bCs w:val="1"/>
          <w:color w:val="1f1f1f"/>
          <w:rtl w:val="0"/>
        </w:rPr>
        <w:t xml:space="preserve">PyTorch 核心参数设置</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软骨架化机制是通过代理形态学腐蚀（Erosion）和膨胀（Dilation）实现的。建议配置最大池化层 MaxPool2d 的核大小（Kernel Size）为 3x3，步幅（Stride）设为 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444746"/>
          <w:shd w:fill="f0f4f9" w:val="clear"/>
          <w:rtl w:val="0"/>
        </w:rPr>
        <w:t xml:space="preserve">Python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i w:val="0"/>
          <w:iCs w:val="0"/>
          <w:color w:val="5f6368"/>
          <w:sz w:val="20"/>
          <w:szCs w:val="20"/>
          <w:shd w:fill="f0f4f9" w:val="clear"/>
          <w:rtl w:val="0"/>
        </w:rPr>
        <w:t xml:space="preserve"># 参考伪代码逻辑</w:t>
      </w:r>
      <w:r w:rsidDel="00000000" w:rsidR="00000000" w:rsidRPr="00000000">
        <w:rPr>
          <w:rFonts w:ascii="Google Sans" w:cs="Google Sans" w:eastAsia="Google Sans" w:hAnsi="Google Sans"/>
          <w:color w:val="1f1f1f"/>
          <w:shd w:fill="f0f4f9" w:val="clear"/>
          <w:rtl w:val="0"/>
        </w:rPr>
        <w:br w:type="textWrapping"/>
      </w:r>
      <w:r w:rsidDel="00000000" w:rsidR="00000000" w:rsidRPr="00000000">
        <w:rPr>
          <w:rFonts w:ascii="Google Sans" w:cs="Google Sans" w:eastAsia="Google Sans" w:hAnsi="Google Sans"/>
          <w:i w:val="0"/>
          <w:iCs w:val="0"/>
          <w:color w:val="8430ce"/>
          <w:sz w:val="20"/>
          <w:szCs w:val="20"/>
          <w:shd w:fill="f0f4f9" w:val="clear"/>
          <w:rtl w:val="0"/>
        </w:rPr>
        <w:t xml:space="preserve">import</w:t>
      </w:r>
      <w:r w:rsidDel="00000000" w:rsidR="00000000" w:rsidRPr="00000000">
        <w:rPr>
          <w:rFonts w:ascii="Google Sans" w:cs="Google Sans" w:eastAsia="Google Sans" w:hAnsi="Google Sans"/>
          <w:color w:val="1f1f1f"/>
          <w:shd w:fill="f0f4f9" w:val="clear"/>
          <w:rtl w:val="0"/>
        </w:rPr>
        <w:t xml:space="preserve"> torch.nn.functional </w:t>
      </w:r>
      <w:r w:rsidDel="00000000" w:rsidR="00000000" w:rsidRPr="00000000">
        <w:rPr>
          <w:rFonts w:ascii="Google Sans" w:cs="Google Sans" w:eastAsia="Google Sans" w:hAnsi="Google Sans"/>
          <w:i w:val="0"/>
          <w:iCs w:val="0"/>
          <w:color w:val="8430ce"/>
          <w:sz w:val="20"/>
          <w:szCs w:val="20"/>
          <w:shd w:fill="f0f4f9" w:val="clear"/>
          <w:rtl w:val="0"/>
        </w:rPr>
        <w:t xml:space="preserve">as</w:t>
      </w:r>
      <w:r w:rsidDel="00000000" w:rsidR="00000000" w:rsidRPr="00000000">
        <w:rPr>
          <w:rFonts w:ascii="Google Sans" w:cs="Google Sans" w:eastAsia="Google Sans" w:hAnsi="Google Sans"/>
          <w:color w:val="1f1f1f"/>
          <w:shd w:fill="f0f4f9" w:val="clear"/>
          <w:rtl w:val="0"/>
        </w:rPr>
        <w:t xml:space="preserve"> F</w:t>
        <w:br w:type="textWrapping"/>
      </w:r>
      <w:r w:rsidDel="00000000" w:rsidR="00000000" w:rsidRPr="00000000">
        <w:rPr>
          <w:rFonts w:ascii="Google Sans" w:cs="Google Sans" w:eastAsia="Google Sans" w:hAnsi="Google Sans"/>
          <w:i w:val="0"/>
          <w:iCs w:val="0"/>
          <w:color w:val="8430ce"/>
          <w:sz w:val="20"/>
          <w:szCs w:val="20"/>
          <w:shd w:fill="f0f4f9" w:val="clear"/>
          <w:rtl w:val="0"/>
        </w:rPr>
        <w:t xml:space="preserve">def</w:t>
      </w:r>
      <w:r w:rsidDel="00000000" w:rsidR="00000000" w:rsidRPr="00000000">
        <w:rPr>
          <w:rFonts w:ascii="Google Sans" w:cs="Google Sans" w:eastAsia="Google Sans" w:hAnsi="Google Sans"/>
          <w:i w:val="0"/>
          <w:iCs w:val="0"/>
          <w:color w:val="444746"/>
          <w:sz w:val="20"/>
          <w:szCs w:val="20"/>
          <w:shd w:fill="f0f4f9" w:val="clear"/>
          <w:rtl w:val="0"/>
        </w:rPr>
        <w:t xml:space="preserve"> </w:t>
      </w:r>
      <w:r w:rsidDel="00000000" w:rsidR="00000000" w:rsidRPr="00000000">
        <w:rPr>
          <w:rFonts w:ascii="Google Sans" w:cs="Google Sans" w:eastAsia="Google Sans" w:hAnsi="Google Sans"/>
          <w:i w:val="0"/>
          <w:iCs w:val="0"/>
          <w:color w:val="996900"/>
          <w:sz w:val="20"/>
          <w:szCs w:val="20"/>
          <w:shd w:fill="f0f4f9" w:val="clear"/>
          <w:rtl w:val="0"/>
        </w:rPr>
        <w:t xml:space="preserve">dice_loss</w:t>
      </w:r>
      <w:r w:rsidDel="00000000" w:rsidR="00000000" w:rsidRPr="00000000">
        <w:rPr>
          <w:rFonts w:ascii="Google Sans" w:cs="Google Sans" w:eastAsia="Google Sans" w:hAnsi="Google Sans"/>
          <w:i w:val="0"/>
          <w:iCs w:val="0"/>
          <w:color w:val="444746"/>
          <w:sz w:val="20"/>
          <w:szCs w:val="20"/>
          <w:shd w:fill="f0f4f9" w:val="clear"/>
          <w:rtl w:val="0"/>
        </w:rPr>
        <w:t xml:space="preserve">(pred, target, smooth=</w:t>
      </w:r>
      <w:r w:rsidDel="00000000" w:rsidR="00000000" w:rsidRPr="00000000">
        <w:rPr>
          <w:rFonts w:ascii="Google Sans" w:cs="Google Sans" w:eastAsia="Google Sans" w:hAnsi="Google Sans"/>
          <w:i w:val="0"/>
          <w:iCs w:val="0"/>
          <w:color w:val="b55908"/>
          <w:sz w:val="20"/>
          <w:szCs w:val="20"/>
          <w:shd w:fill="f0f4f9" w:val="clear"/>
          <w:rtl w:val="0"/>
        </w:rPr>
        <w:t xml:space="preserve">1</w:t>
      </w:r>
      <w:r w:rsidDel="00000000" w:rsidR="00000000" w:rsidRPr="00000000">
        <w:rPr>
          <w:rFonts w:ascii="Google Sans" w:cs="Google Sans" w:eastAsia="Google Sans" w:hAnsi="Google Sans"/>
          <w:i w:val="0"/>
          <w:iCs w:val="0"/>
          <w:color w:val="444746"/>
          <w:sz w:val="20"/>
          <w:szCs w:val="20"/>
          <w:shd w:fill="f0f4f9" w:val="clear"/>
          <w:rtl w:val="0"/>
        </w:rPr>
        <w:t xml:space="preserve">):</w:t>
      </w:r>
      <w:r w:rsidDel="00000000" w:rsidR="00000000" w:rsidRPr="00000000">
        <w:rPr>
          <w:rFonts w:ascii="Google Sans" w:cs="Google Sans" w:eastAsia="Google Sans" w:hAnsi="Google Sans"/>
          <w:color w:val="1f1f1f"/>
          <w:shd w:fill="f0f4f9" w:val="clear"/>
          <w:rtl w:val="0"/>
        </w:rPr>
        <w:br w:type="textWrapping"/>
        <w:t xml:space="preserve">    </w:t>
      </w:r>
      <w:r w:rsidDel="00000000" w:rsidR="00000000" w:rsidRPr="00000000">
        <w:rPr>
          <w:rFonts w:ascii="Google Sans" w:cs="Google Sans" w:eastAsia="Google Sans" w:hAnsi="Google Sans"/>
          <w:i w:val="0"/>
          <w:iCs w:val="0"/>
          <w:color w:val="5f6368"/>
          <w:sz w:val="20"/>
          <w:szCs w:val="20"/>
          <w:shd w:fill="f0f4f9" w:val="clear"/>
          <w:rtl w:val="0"/>
        </w:rPr>
        <w:t xml:space="preserve"># 引入平滑因子以避免除以零错误，平滑项常设置为1或1e-5</w:t>
      </w:r>
      <w:r w:rsidDel="00000000" w:rsidR="00000000" w:rsidRPr="00000000">
        <w:rPr>
          <w:rFonts w:ascii="Google Sans" w:cs="Google Sans" w:eastAsia="Google Sans" w:hAnsi="Google Sans"/>
          <w:color w:val="1f1f1f"/>
          <w:shd w:fill="f0f4f9" w:val="clear"/>
          <w:rtl w:val="0"/>
        </w:rPr>
        <w:br w:type="textWrapping"/>
        <w:t xml:space="preserve">    intersection = (pred * target).</w:t>
      </w:r>
      <w:r w:rsidDel="00000000" w:rsidR="00000000" w:rsidRPr="00000000">
        <w:rPr>
          <w:rFonts w:ascii="Google Sans" w:cs="Google Sans" w:eastAsia="Google Sans" w:hAnsi="Google Sans"/>
          <w:i w:val="0"/>
          <w:iCs w:val="0"/>
          <w:color w:val="1967d2"/>
          <w:sz w:val="20"/>
          <w:szCs w:val="20"/>
          <w:shd w:fill="f0f4f9" w:val="clear"/>
          <w:rtl w:val="0"/>
        </w:rPr>
        <w:t xml:space="preserve">sum</w:t>
      </w:r>
      <w:r w:rsidDel="00000000" w:rsidR="00000000" w:rsidRPr="00000000">
        <w:rPr>
          <w:rFonts w:ascii="Google Sans" w:cs="Google Sans" w:eastAsia="Google Sans" w:hAnsi="Google Sans"/>
          <w:color w:val="1f1f1f"/>
          <w:shd w:fill="f0f4f9" w:val="clear"/>
          <w:rtl w:val="0"/>
        </w:rPr>
        <w:t xml:space="preserve">(dim=(</w:t>
      </w:r>
      <w:r w:rsidDel="00000000" w:rsidR="00000000" w:rsidRPr="00000000">
        <w:rPr>
          <w:rFonts w:ascii="Google Sans" w:cs="Google Sans" w:eastAsia="Google Sans" w:hAnsi="Google Sans"/>
          <w:i w:val="0"/>
          <w:iCs w:val="0"/>
          <w:color w:val="b55908"/>
          <w:sz w:val="20"/>
          <w:szCs w:val="20"/>
          <w:shd w:fill="f0f4f9" w:val="clear"/>
          <w:rtl w:val="0"/>
        </w:rPr>
        <w:t xml:space="preserve">2</w:t>
      </w:r>
      <w:r w:rsidDel="00000000" w:rsidR="00000000" w:rsidRPr="00000000">
        <w:rPr>
          <w:rFonts w:ascii="Google Sans" w:cs="Google Sans" w:eastAsia="Google Sans" w:hAnsi="Google Sans"/>
          <w:color w:val="1f1f1f"/>
          <w:shd w:fill="f0f4f9" w:val="clear"/>
          <w:rtl w:val="0"/>
        </w:rPr>
        <w:t xml:space="preserve">, </w:t>
      </w:r>
      <w:r w:rsidDel="00000000" w:rsidR="00000000" w:rsidRPr="00000000">
        <w:rPr>
          <w:rFonts w:ascii="Google Sans" w:cs="Google Sans" w:eastAsia="Google Sans" w:hAnsi="Google Sans"/>
          <w:i w:val="0"/>
          <w:iCs w:val="0"/>
          <w:color w:val="b55908"/>
          <w:sz w:val="20"/>
          <w:szCs w:val="20"/>
          <w:shd w:fill="f0f4f9" w:val="clear"/>
          <w:rtl w:val="0"/>
        </w:rPr>
        <w:t xml:space="preserve">3</w:t>
      </w:r>
      <w:r w:rsidDel="00000000" w:rsidR="00000000" w:rsidRPr="00000000">
        <w:rPr>
          <w:rFonts w:ascii="Google Sans" w:cs="Google Sans" w:eastAsia="Google Sans" w:hAnsi="Google Sans"/>
          <w:color w:val="1f1f1f"/>
          <w:shd w:fill="f0f4f9" w:val="clear"/>
          <w:rtl w:val="0"/>
        </w:rPr>
        <w:t xml:space="preserve">))</w:t>
        <w:br w:type="textWrapping"/>
        <w:t xml:space="preserve">    union = pred.</w:t>
      </w:r>
      <w:r w:rsidDel="00000000" w:rsidR="00000000" w:rsidRPr="00000000">
        <w:rPr>
          <w:rFonts w:ascii="Google Sans" w:cs="Google Sans" w:eastAsia="Google Sans" w:hAnsi="Google Sans"/>
          <w:i w:val="0"/>
          <w:iCs w:val="0"/>
          <w:color w:val="1967d2"/>
          <w:sz w:val="20"/>
          <w:szCs w:val="20"/>
          <w:shd w:fill="f0f4f9" w:val="clear"/>
          <w:rtl w:val="0"/>
        </w:rPr>
        <w:t xml:space="preserve">sum</w:t>
      </w:r>
      <w:r w:rsidDel="00000000" w:rsidR="00000000" w:rsidRPr="00000000">
        <w:rPr>
          <w:rFonts w:ascii="Google Sans" w:cs="Google Sans" w:eastAsia="Google Sans" w:hAnsi="Google Sans"/>
          <w:color w:val="1f1f1f"/>
          <w:shd w:fill="f0f4f9" w:val="clear"/>
          <w:rtl w:val="0"/>
        </w:rPr>
        <w:t xml:space="preserve">(dim=(</w:t>
      </w:r>
      <w:r w:rsidDel="00000000" w:rsidR="00000000" w:rsidRPr="00000000">
        <w:rPr>
          <w:rFonts w:ascii="Google Sans" w:cs="Google Sans" w:eastAsia="Google Sans" w:hAnsi="Google Sans"/>
          <w:i w:val="0"/>
          <w:iCs w:val="0"/>
          <w:color w:val="b55908"/>
          <w:sz w:val="20"/>
          <w:szCs w:val="20"/>
          <w:shd w:fill="f0f4f9" w:val="clear"/>
          <w:rtl w:val="0"/>
        </w:rPr>
        <w:t xml:space="preserve">2</w:t>
      </w:r>
      <w:r w:rsidDel="00000000" w:rsidR="00000000" w:rsidRPr="00000000">
        <w:rPr>
          <w:rFonts w:ascii="Google Sans" w:cs="Google Sans" w:eastAsia="Google Sans" w:hAnsi="Google Sans"/>
          <w:color w:val="1f1f1f"/>
          <w:shd w:fill="f0f4f9" w:val="clear"/>
          <w:rtl w:val="0"/>
        </w:rPr>
        <w:t xml:space="preserve">, </w:t>
      </w:r>
      <w:r w:rsidDel="00000000" w:rsidR="00000000" w:rsidRPr="00000000">
        <w:rPr>
          <w:rFonts w:ascii="Google Sans" w:cs="Google Sans" w:eastAsia="Google Sans" w:hAnsi="Google Sans"/>
          <w:i w:val="0"/>
          <w:iCs w:val="0"/>
          <w:color w:val="b55908"/>
          <w:sz w:val="20"/>
          <w:szCs w:val="20"/>
          <w:shd w:fill="f0f4f9" w:val="clear"/>
          <w:rtl w:val="0"/>
        </w:rPr>
        <w:t xml:space="preserve">3</w:t>
      </w:r>
      <w:r w:rsidDel="00000000" w:rsidR="00000000" w:rsidRPr="00000000">
        <w:rPr>
          <w:rFonts w:ascii="Google Sans" w:cs="Google Sans" w:eastAsia="Google Sans" w:hAnsi="Google Sans"/>
          <w:color w:val="1f1f1f"/>
          <w:shd w:fill="f0f4f9" w:val="clear"/>
          <w:rtl w:val="0"/>
        </w:rPr>
        <w:t xml:space="preserve">)) + target.</w:t>
      </w:r>
      <w:r w:rsidDel="00000000" w:rsidR="00000000" w:rsidRPr="00000000">
        <w:rPr>
          <w:rFonts w:ascii="Google Sans" w:cs="Google Sans" w:eastAsia="Google Sans" w:hAnsi="Google Sans"/>
          <w:i w:val="0"/>
          <w:iCs w:val="0"/>
          <w:color w:val="1967d2"/>
          <w:sz w:val="20"/>
          <w:szCs w:val="20"/>
          <w:shd w:fill="f0f4f9" w:val="clear"/>
          <w:rtl w:val="0"/>
        </w:rPr>
        <w:t xml:space="preserve">sum</w:t>
      </w:r>
      <w:r w:rsidDel="00000000" w:rsidR="00000000" w:rsidRPr="00000000">
        <w:rPr>
          <w:rFonts w:ascii="Google Sans" w:cs="Google Sans" w:eastAsia="Google Sans" w:hAnsi="Google Sans"/>
          <w:color w:val="1f1f1f"/>
          <w:shd w:fill="f0f4f9" w:val="clear"/>
          <w:rtl w:val="0"/>
        </w:rPr>
        <w:t xml:space="preserve">(dim=(</w:t>
      </w:r>
      <w:r w:rsidDel="00000000" w:rsidR="00000000" w:rsidRPr="00000000">
        <w:rPr>
          <w:rFonts w:ascii="Google Sans" w:cs="Google Sans" w:eastAsia="Google Sans" w:hAnsi="Google Sans"/>
          <w:i w:val="0"/>
          <w:iCs w:val="0"/>
          <w:color w:val="b55908"/>
          <w:sz w:val="20"/>
          <w:szCs w:val="20"/>
          <w:shd w:fill="f0f4f9" w:val="clear"/>
          <w:rtl w:val="0"/>
        </w:rPr>
        <w:t xml:space="preserve">2</w:t>
      </w:r>
      <w:r w:rsidDel="00000000" w:rsidR="00000000" w:rsidRPr="00000000">
        <w:rPr>
          <w:rFonts w:ascii="Google Sans" w:cs="Google Sans" w:eastAsia="Google Sans" w:hAnsi="Google Sans"/>
          <w:color w:val="1f1f1f"/>
          <w:shd w:fill="f0f4f9" w:val="clear"/>
          <w:rtl w:val="0"/>
        </w:rPr>
        <w:t xml:space="preserve">, </w:t>
      </w:r>
      <w:r w:rsidDel="00000000" w:rsidR="00000000" w:rsidRPr="00000000">
        <w:rPr>
          <w:rFonts w:ascii="Google Sans" w:cs="Google Sans" w:eastAsia="Google Sans" w:hAnsi="Google Sans"/>
          <w:i w:val="0"/>
          <w:iCs w:val="0"/>
          <w:color w:val="b55908"/>
          <w:sz w:val="20"/>
          <w:szCs w:val="20"/>
          <w:shd w:fill="f0f4f9" w:val="clear"/>
          <w:rtl w:val="0"/>
        </w:rPr>
        <w:t xml:space="preserve">3</w:t>
      </w:r>
      <w:r w:rsidDel="00000000" w:rsidR="00000000" w:rsidRPr="00000000">
        <w:rPr>
          <w:rFonts w:ascii="Google Sans" w:cs="Google Sans" w:eastAsia="Google Sans" w:hAnsi="Google Sans"/>
          <w:color w:val="1f1f1f"/>
          <w:shd w:fill="f0f4f9" w:val="clear"/>
          <w:rtl w:val="0"/>
        </w:rPr>
        <w:t xml:space="preserve">))</w:t>
        <w:br w:type="textWrapping"/>
        <w:t xml:space="preserve">    </w:t>
      </w:r>
      <w:r w:rsidDel="00000000" w:rsidR="00000000" w:rsidRPr="00000000">
        <w:rPr>
          <w:rFonts w:ascii="Google Sans" w:cs="Google Sans" w:eastAsia="Google Sans" w:hAnsi="Google Sans"/>
          <w:i w:val="0"/>
          <w:iCs w:val="0"/>
          <w:color w:val="8430ce"/>
          <w:sz w:val="20"/>
          <w:szCs w:val="20"/>
          <w:shd w:fill="f0f4f9" w:val="clear"/>
          <w:rtl w:val="0"/>
        </w:rPr>
        <w:t xml:space="preserve">return</w:t>
      </w:r>
      <w:r w:rsidDel="00000000" w:rsidR="00000000" w:rsidRPr="00000000">
        <w:rPr>
          <w:rFonts w:ascii="Google Sans" w:cs="Google Sans" w:eastAsia="Google Sans" w:hAnsi="Google Sans"/>
          <w:color w:val="1f1f1f"/>
          <w:shd w:fill="f0f4f9" w:val="clear"/>
          <w:rtl w:val="0"/>
        </w:rPr>
        <w:t xml:space="preserve"> </w:t>
      </w:r>
      <w:r w:rsidDel="00000000" w:rsidR="00000000" w:rsidRPr="00000000">
        <w:rPr>
          <w:rFonts w:ascii="Google Sans" w:cs="Google Sans" w:eastAsia="Google Sans" w:hAnsi="Google Sans"/>
          <w:i w:val="0"/>
          <w:iCs w:val="0"/>
          <w:color w:val="b55908"/>
          <w:sz w:val="20"/>
          <w:szCs w:val="20"/>
          <w:shd w:fill="f0f4f9" w:val="clear"/>
          <w:rtl w:val="0"/>
        </w:rPr>
        <w:t xml:space="preserve">1</w:t>
      </w:r>
      <w:r w:rsidDel="00000000" w:rsidR="00000000" w:rsidRPr="00000000">
        <w:rPr>
          <w:rFonts w:ascii="Google Sans" w:cs="Google Sans" w:eastAsia="Google Sans" w:hAnsi="Google Sans"/>
          <w:color w:val="1f1f1f"/>
          <w:shd w:fill="f0f4f9" w:val="clear"/>
          <w:rtl w:val="0"/>
        </w:rPr>
        <w:t xml:space="preserve"> - ((</w:t>
      </w:r>
      <w:r w:rsidDel="00000000" w:rsidR="00000000" w:rsidRPr="00000000">
        <w:rPr>
          <w:rFonts w:ascii="Google Sans" w:cs="Google Sans" w:eastAsia="Google Sans" w:hAnsi="Google Sans"/>
          <w:i w:val="0"/>
          <w:iCs w:val="0"/>
          <w:color w:val="b55908"/>
          <w:sz w:val="20"/>
          <w:szCs w:val="20"/>
          <w:shd w:fill="f0f4f9" w:val="clear"/>
          <w:rtl w:val="0"/>
        </w:rPr>
        <w:t xml:space="preserve">2.</w:t>
      </w:r>
      <w:r w:rsidDel="00000000" w:rsidR="00000000" w:rsidRPr="00000000">
        <w:rPr>
          <w:rFonts w:ascii="Google Sans" w:cs="Google Sans" w:eastAsia="Google Sans" w:hAnsi="Google Sans"/>
          <w:color w:val="1f1f1f"/>
          <w:shd w:fill="f0f4f9" w:val="clear"/>
          <w:rtl w:val="0"/>
        </w:rPr>
        <w:t xml:space="preserve"> * intersection + smooth) / (union + smooth)).mean()</w:t>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在混合损失计算中，建议设置平滑超参数 smooth=1，后处理消除假阳性时的阈值设为 pthresh = 0.5。</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默认测试视频获取来源与挂载建议</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系统初始化启动时，为了给用户展示开箱即用的“左侧测试集”分割体验，可以在前端预置一个下拉菜单并自动加载几个默认的测试视频流。</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视频获取源</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76">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990" w:hanging="360"/>
      </w:pPr>
      <w:r w:rsidDel="00000000" w:rsidR="00000000" w:rsidRPr="00000000">
        <w:rPr>
          <w:rFonts w:ascii="Google Sans" w:cs="Google Sans" w:eastAsia="Google Sans" w:hAnsi="Google Sans"/>
          <w:b w:val="1"/>
          <w:bCs w:val="1"/>
          <w:color w:val="1f1f1f"/>
          <w:rtl w:val="0"/>
        </w:rPr>
        <w:t xml:space="preserve">MOSXAV 核心集（强推）</w:t>
      </w:r>
      <w:r w:rsidDel="00000000" w:rsidR="00000000" w:rsidRPr="00000000">
        <w:rPr>
          <w:rFonts w:ascii="Google Sans" w:cs="Google Sans" w:eastAsia="Google Sans" w:hAnsi="Google Sans"/>
          <w:color w:val="1f1f1f"/>
          <w:rtl w:val="0"/>
        </w:rPr>
        <w:t xml:space="preserve">：此数据集包含 12 个纯测试序列的动态造影视频。由于它公开托管在了 Hugging Face 以及 OneDrive 和 Google Drive 上，其标准化为 512×512 的 .mp4 格式非常适合直接挂载到 Web 前端的 static/ 目录下进行流式播放测试。</w:t>
      </w:r>
    </w:p>
    <w:p w:rsidR="00000000" w:rsidDel="00000000" w:rsidP="00000000" w:rsidRDefault="00000000" w:rsidRPr="00000000" w14:paraId="00000077">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990" w:hanging="360"/>
      </w:pPr>
      <w:r w:rsidDel="00000000" w:rsidR="00000000" w:rsidRPr="00000000">
        <w:rPr>
          <w:rFonts w:ascii="Google Sans" w:cs="Google Sans" w:eastAsia="Google Sans" w:hAnsi="Google Sans"/>
          <w:b w:val="1"/>
          <w:bCs w:val="1"/>
          <w:color w:val="1f1f1f"/>
          <w:rtl w:val="0"/>
        </w:rPr>
        <w:t xml:space="preserve">CathAction 动作集</w:t>
      </w:r>
      <w:r w:rsidDel="00000000" w:rsidR="00000000" w:rsidRPr="00000000">
        <w:rPr>
          <w:rFonts w:ascii="Google Sans" w:cs="Google Sans" w:eastAsia="Google Sans" w:hAnsi="Google Sans"/>
          <w:color w:val="1f1f1f"/>
          <w:rtl w:val="0"/>
        </w:rPr>
        <w:t xml:space="preserve">：可以在其官方网站或 Hugging Face 仓库中下载术中视频帧序列（Video Frames）。针对动作如 advance guidewire (推入导丝) 和 retract guidewire (撤回导丝) 的阶段，通过 ffmpeg 将序列图压缩合成微型 .mp4 文件作为演示参考 </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5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部署交互建议</w:t>
      </w:r>
      <w:r w:rsidDel="00000000" w:rsidR="00000000" w:rsidRPr="00000000">
        <w:rPr>
          <w:rFonts w:ascii="Google Sans" w:cs="Google Sans" w:eastAsia="Google Sans" w:hAnsi="Google Sans"/>
          <w:color w:val="1f1f1f"/>
          <w:rtl w:val="0"/>
        </w:rPr>
        <w:t xml:space="preserve">：将选定的MOSXAV示例序列下载后置于后端静态资源目录，当用户打开前端 Web 界面时，即可在面板左侧看到一段自动循环播放的心血管造影造影剂弥散影像；点击“启动 AI 分析”按钮后，WebSocket 连接建立，Canvas 图层瞬间被激活并实时高亮输出导丝所处的绿色骨架线轮廓。</w:t>
      </w:r>
    </w:p>
    <w:p w:rsidR="00000000" w:rsidDel="00000000" w:rsidP="00000000" w:rsidRDefault="00000000" w:rsidRPr="00000000" w14:paraId="0000007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核心系统总结与远期前沿技术演进路线图册</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构建一个拥有超强跨域泛化能力、对骨骼等强伪影具备极端免疫鲁棒性且能毫无压力满足介入手术现场硬实时性极苛刻算力吞吐要求的高维X射线医学影像导丝视觉感知重构系统，绝对不仅仅是机械地调用几个拼凑拼凑开源计算机视觉基础积木代码堆砌而成的廉价工程，它是一项涉及从最底层图像光子散射物理衰减数学建模机制深度反向优化、跨越最新变分拓扑学理论前沿神经网络深度架构设计思想，并最终落实到极其复杂极度榨取底层计算硅晶片显存利用率与数据通道带宽极限的严密跨学科巅峰工业级庞大系统性重构工程。</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color w:val="1f1f1f"/>
          <w:rtl w:val="0"/>
        </w:rPr>
        <w:t xml:space="preserve">深入贯彻本报告为响应项目初期探索验证阶段（即仅仅满足“初步二维平面图像中实现管状导丝形态基本分割与提取识别目标”）所制定的核心技术蓝图脉络，最优且已被业界证实拥有极高可行性与极低试错沉没成本的技术实施战术执行路径可凝练总结归纳为：</w:t>
      </w:r>
      <w:r w:rsidDel="00000000" w:rsidR="00000000" w:rsidRPr="00000000">
        <w:rPr>
          <w:rFonts w:ascii="Google Sans" w:cs="Google Sans" w:eastAsia="Google Sans" w:hAnsi="Google Sans"/>
          <w:b w:val="1"/>
          <w:bCs w:val="1"/>
          <w:color w:val="1f1f1f"/>
          <w:rtl w:val="0"/>
        </w:rPr>
        <w:t xml:space="preserve">首要战役即依托规模极其庞大且在网络上开源免费获取的 CathAction 大数据基础训练语料平台、以及拥有高精度语义标注辅助应对极端复杂多物体交错重叠遮挡灾难场景的 MOSXAV 全尺寸高清视频核心库为发动机基底建立全知视角的泛域数据大模型；在训练阶段决不允许作弊退让，必须强制剥离并从物理硬盘层面严格永久隔离诸如 WEISS 临床集（重点锁定令人绝望的含黑边伪影与极低对比度的 T5/T6 序列视频）或 FGA-Net 关联的具有极强地域医院色彩差异的完全异构 DSA 数据源图像作为绝对盲测底线试金石的“终极左侧挑战评估测试独立集”。在系统核心算法中枢的大脑设计维度上，彻底摒弃笨重缓慢的单阶段臃肿架构，全面拥抱搭载诸如 HessianNet 所蕴藏的大跨度空间距离双重自注意力机制或者 FGA-Net 中的极速轻量级流控阀门门控特征通道重组引擎的时序融合双阶段检测微距切割管线网络；而在前端信息投喂口，引入强力清除极化背景的 CLAHE 算子并叠加提取出高维特征值阵列的二阶 Hessian 偏导数本征矩阵去无情剥离强化那些掩盖在黑暗骨缝中的细微管状微弱呼吸信号；最终在决胜千里、主导深度神经网络几百兆参数模型数亿次梯度反向溯源演化进化方向的底层监督损失引擎核芯上，毫不犹豫地采用彻底终结断裂灾难的革命性软骨架化机制支持下的 clDice 技术或者直接嵌入曲率半径特征变量约束的 cbDice 参数方程，从而从基因源头彻底粉碎消除微小细长导丝由于不可抗力干扰带来的任何潜在几何拓扑断裂医学灾难的隐患。</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当这一拥有强大拓扑维持韧性的初始二维基准系统顺利穿过从原型沙盒测试代码阶段向实际严苛临床介入数据灰度环境检验落地的死亡之谷试炼，其更长远的中远期未来演进拓展图景则展现出更为惊心动魄的升维跨越空间。从时间序列维度深入挖掘，由于目前的框架对视频帧前后的依赖大多局限在检测层的极短视窗内，未来可以通过将极其强大的带有物理状态时间序列衰减遗忘属性的长短期记忆循环记忆神经网络架构核芯（RNN/LSTM）甚至配备具有无限时空感受视野交织能力的三维时空多向 Transformer 庞大架构矩阵（Spatio-Temporal Transformer）深度融合进流水线的主动脉，实现从针对单帧无记忆孤立快照静态平面切分任务，向带有强大运动轨迹预测纠偏功能的全生命周期时序动态轨迹追踪系统（Temporal Dynamics Visual Tracking）的彻底进化。这种拥有深远时间连续记忆的感知大脑，将彻底解决当导丝探头意外驶入心脏大血管交汇处被大面积高密度致密胸骨阴影或重度钙化团块物理彻底遮挡甚至导致视觉信号在一瞬间内彻底蒸发消失的极端噩梦场景下的轨迹接续盲导难题；从空间广度探索维度进一步拓宽突破边界限制，未来的顶尖前瞻性系统研究架构则必将开始向类似于 Guide3D 等顶尖立体时空重构前沿工作方向靠拢，通过同时接管捕获并深度解析双平面甚至多维度 C 型臂（Bi-planar C-arm）X 射线旋转透视机架从不同正交空间物理角度几乎同时投射采集而来的多组复杂二维重构信号映射特征，利用逆向复杂的共面几何投影矩阵运算公式将离散降维分布在不同平面上的二维细长分割断层特征数据阵列反向射影投射，进行多视角的几何交汇时空拼接，最终实现一根导丝本体在患者复杂多变的体内三维立体三轴空间真实血管内腔中绝对准确、全向三维结构轨迹的完美实体全息复刻重建重现。这套系统的落地部署不仅仅将终结传统心血管主治医生依靠在大脑内部抽象脑补重构患者体内环境的艰难困境时代，更将成为未来全新一代具备高度完全自动驾驶自主手术规划导航及防碰避障功能的精密内窥镜式全自动智能血管介入操控机器人其不可或缺的核心三维立体多向空间定位感知视觉中枢基石。</w:t>
      </w:r>
    </w:p>
    <w:p w:rsidR="00000000" w:rsidDel="00000000" w:rsidP="00000000" w:rsidRDefault="00000000" w:rsidRPr="00000000" w14:paraId="0000007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7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Item - WEISS Catheter Segmentation in Fluoroscopy Dataset ..., accessed May 18, 2026, </w:t>
      </w:r>
      <w:hyperlink r:id="rId38">
        <w:r w:rsidDel="00000000" w:rsidR="00000000" w:rsidRPr="00000000">
          <w:rPr>
            <w:rFonts w:ascii="Google Sans" w:cs="Google Sans" w:eastAsia="Google Sans" w:hAnsi="Google Sans"/>
            <w:color w:val="0000ee"/>
            <w:sz w:val="24"/>
            <w:szCs w:val="24"/>
            <w:u w:val="single"/>
            <w:rtl w:val="0"/>
          </w:rPr>
          <w:t xml:space="preserve">https://rdr.ucl.ac.uk/articles/dataset/WEISS_Catheter_Segmentation_in_Fluoroscopy_Dataset/24624243</w:t>
        </w:r>
      </w:hyperlink>
      <w:r w:rsidDel="00000000" w:rsidR="00000000" w:rsidRPr="00000000">
        <w:rPr>
          <w:rtl w:val="0"/>
        </w:rPr>
      </w:r>
    </w:p>
    <w:p w:rsidR="00000000" w:rsidDel="00000000" w:rsidP="00000000" w:rsidRDefault="00000000" w:rsidRPr="00000000" w14:paraId="0000007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Lightweight attention network for guidewire segmentation and localization in clinical fluoroscopic images of vascular interventional surgery - PubMed, accessed May 18, 2026, </w:t>
      </w:r>
      <w:hyperlink r:id="rId39">
        <w:r w:rsidDel="00000000" w:rsidR="00000000" w:rsidRPr="00000000">
          <w:rPr>
            <w:rFonts w:ascii="Google Sans" w:cs="Google Sans" w:eastAsia="Google Sans" w:hAnsi="Google Sans"/>
            <w:color w:val="0000ee"/>
            <w:sz w:val="24"/>
            <w:szCs w:val="24"/>
            <w:u w:val="single"/>
            <w:rtl w:val="0"/>
          </w:rPr>
          <w:t xml:space="preserve">https://pubmed.ncbi.nlm.nih.gov/40384703/</w:t>
        </w:r>
      </w:hyperlink>
      <w:r w:rsidDel="00000000" w:rsidR="00000000" w:rsidRPr="00000000">
        <w:rPr>
          <w:rtl w:val="0"/>
        </w:rPr>
      </w:r>
    </w:p>
    <w:p w:rsidR="00000000" w:rsidDel="00000000" w:rsidP="00000000" w:rsidRDefault="00000000" w:rsidRPr="00000000" w14:paraId="0000008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MSLNet and Perceptual Grouping for Guidewire Segmentation and Localization - PubMed, accessed May 18, 2026, </w:t>
      </w:r>
      <w:hyperlink r:id="rId40">
        <w:r w:rsidDel="00000000" w:rsidR="00000000" w:rsidRPr="00000000">
          <w:rPr>
            <w:rFonts w:ascii="Google Sans" w:cs="Google Sans" w:eastAsia="Google Sans" w:hAnsi="Google Sans"/>
            <w:color w:val="0000ee"/>
            <w:sz w:val="24"/>
            <w:szCs w:val="24"/>
            <w:u w:val="single"/>
            <w:rtl w:val="0"/>
          </w:rPr>
          <w:t xml:space="preserve">https://pubmed.ncbi.nlm.nih.gov/41157479/</w:t>
        </w:r>
      </w:hyperlink>
      <w:r w:rsidDel="00000000" w:rsidR="00000000" w:rsidRPr="00000000">
        <w:rPr>
          <w:rtl w:val="0"/>
        </w:rPr>
      </w:r>
    </w:p>
    <w:p w:rsidR="00000000" w:rsidDel="00000000" w:rsidP="00000000" w:rsidRDefault="00000000" w:rsidRPr="00000000" w14:paraId="0000008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Comparison of Background Removal Approaches in X-ray Fluoroscopy for Detection of Cerebral Stent Markers - ResearchGate, accessed May 18, 2026, </w:t>
      </w:r>
      <w:hyperlink r:id="rId41">
        <w:r w:rsidDel="00000000" w:rsidR="00000000" w:rsidRPr="00000000">
          <w:rPr>
            <w:rFonts w:ascii="Google Sans" w:cs="Google Sans" w:eastAsia="Google Sans" w:hAnsi="Google Sans"/>
            <w:color w:val="0000ee"/>
            <w:sz w:val="24"/>
            <w:szCs w:val="24"/>
            <w:u w:val="single"/>
            <w:rtl w:val="0"/>
          </w:rPr>
          <w:t xml:space="preserve">https://www.researchgate.net/publication/335927802_Comparison_of_Background_Removal_Approaches_in_X-ray_Fluoroscopy_for_Detection_of_Cerebral_Stent_Markers</w:t>
        </w:r>
      </w:hyperlink>
      <w:r w:rsidDel="00000000" w:rsidR="00000000" w:rsidRPr="00000000">
        <w:rPr>
          <w:rtl w:val="0"/>
        </w:rPr>
      </w:r>
    </w:p>
    <w:p w:rsidR="00000000" w:rsidDel="00000000" w:rsidP="00000000" w:rsidRDefault="00000000" w:rsidRPr="00000000" w14:paraId="0000008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Catheter segmentation in X-ray fluoroscopy using synthetic data and transfer learning with light U-nets - PMC, accessed May 18, 2026,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https://pmc.ncbi.nlm.nih.gov/articles/PMC7903142/</w:t>
        </w:r>
      </w:hyperlink>
      <w:r w:rsidDel="00000000" w:rsidR="00000000" w:rsidRPr="00000000">
        <w:rPr>
          <w:rtl w:val="0"/>
        </w:rPr>
      </w:r>
    </w:p>
    <w:p w:rsidR="00000000" w:rsidDel="00000000" w:rsidP="00000000" w:rsidRDefault="00000000" w:rsidRPr="00000000" w14:paraId="0000008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xilin-x/MOSXAV: A Benchmark Dataset for Multi-Object ... - GitHub, accessed May 18, 2026, </w:t>
      </w:r>
      <w:hyperlink r:id="rId43">
        <w:r w:rsidDel="00000000" w:rsidR="00000000" w:rsidRPr="00000000">
          <w:rPr>
            <w:rFonts w:ascii="Google Sans" w:cs="Google Sans" w:eastAsia="Google Sans" w:hAnsi="Google Sans"/>
            <w:color w:val="0000ee"/>
            <w:sz w:val="24"/>
            <w:szCs w:val="24"/>
            <w:u w:val="single"/>
            <w:rtl w:val="0"/>
          </w:rPr>
          <w:t xml:space="preserve">https://github.com/xilin-x/MOSXAV</w:t>
        </w:r>
      </w:hyperlink>
      <w:r w:rsidDel="00000000" w:rsidR="00000000" w:rsidRPr="00000000">
        <w:rPr>
          <w:rtl w:val="0"/>
        </w:rPr>
      </w:r>
    </w:p>
    <w:p w:rsidR="00000000" w:rsidDel="00000000" w:rsidP="00000000" w:rsidRDefault="00000000" w:rsidRPr="00000000" w14:paraId="0000008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Patch-Based Adaptive Background Subtraction for Vascular Enhancement in X-Ray Cineangiograms - PubMed, accessed May 18, 2026, </w:t>
      </w:r>
      <w:hyperlink r:id="rId44">
        <w:r w:rsidDel="00000000" w:rsidR="00000000" w:rsidRPr="00000000">
          <w:rPr>
            <w:rFonts w:ascii="Google Sans" w:cs="Google Sans" w:eastAsia="Google Sans" w:hAnsi="Google Sans"/>
            <w:color w:val="0000ee"/>
            <w:sz w:val="24"/>
            <w:szCs w:val="24"/>
            <w:u w:val="single"/>
            <w:rtl w:val="0"/>
          </w:rPr>
          <w:t xml:space="preserve">https://pubmed.ncbi.nlm.nih.gov/30629524/</w:t>
        </w:r>
      </w:hyperlink>
      <w:r w:rsidDel="00000000" w:rsidR="00000000" w:rsidRPr="00000000">
        <w:rPr>
          <w:rtl w:val="0"/>
        </w:rPr>
      </w:r>
    </w:p>
    <w:p w:rsidR="00000000" w:rsidDel="00000000" w:rsidP="00000000" w:rsidRDefault="00000000" w:rsidRPr="00000000" w14:paraId="0000008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Real-time guidewire tracking and segmentation in intraoperative X-ray - arXiv, accessed May 18, 2026, </w:t>
      </w:r>
      <w:hyperlink r:id="rId45">
        <w:r w:rsidDel="00000000" w:rsidR="00000000" w:rsidRPr="00000000">
          <w:rPr>
            <w:rFonts w:ascii="Google Sans" w:cs="Google Sans" w:eastAsia="Google Sans" w:hAnsi="Google Sans"/>
            <w:color w:val="0000ee"/>
            <w:sz w:val="24"/>
            <w:szCs w:val="24"/>
            <w:u w:val="single"/>
            <w:rtl w:val="0"/>
          </w:rPr>
          <w:t xml:space="preserve">https://arxiv.org/html/2404.08805v1</w:t>
        </w:r>
      </w:hyperlink>
      <w:r w:rsidDel="00000000" w:rsidR="00000000" w:rsidRPr="00000000">
        <w:rPr>
          <w:rtl w:val="0"/>
        </w:rPr>
      </w:r>
    </w:p>
    <w:p w:rsidR="00000000" w:rsidDel="00000000" w:rsidP="00000000" w:rsidRDefault="00000000" w:rsidRPr="00000000" w14:paraId="0000008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Real-time guidewire tracking and segmentation in intraoperative X-ray - arXiv, accessed May 18, 2026, </w:t>
      </w:r>
      <w:hyperlink r:id="rId46">
        <w:r w:rsidDel="00000000" w:rsidR="00000000" w:rsidRPr="00000000">
          <w:rPr>
            <w:rFonts w:ascii="Google Sans" w:cs="Google Sans" w:eastAsia="Google Sans" w:hAnsi="Google Sans"/>
            <w:color w:val="0000ee"/>
            <w:sz w:val="24"/>
            <w:szCs w:val="24"/>
            <w:u w:val="single"/>
            <w:rtl w:val="0"/>
          </w:rPr>
          <w:t xml:space="preserve">https://arxiv.org/pdf/2404.08805</w:t>
        </w:r>
      </w:hyperlink>
      <w:r w:rsidDel="00000000" w:rsidR="00000000" w:rsidRPr="00000000">
        <w:rPr>
          <w:rtl w:val="0"/>
        </w:rPr>
      </w:r>
    </w:p>
    <w:p w:rsidR="00000000" w:rsidDel="00000000" w:rsidP="00000000" w:rsidRDefault="00000000" w:rsidRPr="00000000" w14:paraId="0000008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CathAction Dataset, accessed May 18, 2026, </w:t>
      </w:r>
      <w:hyperlink r:id="rId47">
        <w:r w:rsidDel="00000000" w:rsidR="00000000" w:rsidRPr="00000000">
          <w:rPr>
            <w:rFonts w:ascii="Google Sans" w:cs="Google Sans" w:eastAsia="Google Sans" w:hAnsi="Google Sans"/>
            <w:color w:val="0000ee"/>
            <w:sz w:val="24"/>
            <w:szCs w:val="24"/>
            <w:u w:val="single"/>
            <w:rtl w:val="0"/>
          </w:rPr>
          <w:t xml:space="preserve">https://airvlab.github.io/cathaction/</w:t>
        </w:r>
      </w:hyperlink>
      <w:r w:rsidDel="00000000" w:rsidR="00000000" w:rsidRPr="00000000">
        <w:rPr>
          <w:rtl w:val="0"/>
        </w:rPr>
      </w:r>
    </w:p>
    <w:p w:rsidR="00000000" w:rsidDel="00000000" w:rsidP="00000000" w:rsidRDefault="00000000" w:rsidRPr="00000000" w14:paraId="0000008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airvlab/CathAction · Datasets at Hugging Face, accessed May 18, 2026, </w:t>
      </w:r>
      <w:hyperlink r:id="rId48">
        <w:r w:rsidDel="00000000" w:rsidR="00000000" w:rsidRPr="00000000">
          <w:rPr>
            <w:rFonts w:ascii="Google Sans" w:cs="Google Sans" w:eastAsia="Google Sans" w:hAnsi="Google Sans"/>
            <w:color w:val="0000ee"/>
            <w:sz w:val="24"/>
            <w:szCs w:val="24"/>
            <w:u w:val="single"/>
            <w:rtl w:val="0"/>
          </w:rPr>
          <w:t xml:space="preserve">https://huggingface.co/datasets/airvlab/CathAction</w:t>
        </w:r>
      </w:hyperlink>
      <w:r w:rsidDel="00000000" w:rsidR="00000000" w:rsidRPr="00000000">
        <w:rPr>
          <w:rtl w:val="0"/>
        </w:rPr>
      </w:r>
    </w:p>
    <w:p w:rsidR="00000000" w:rsidDel="00000000" w:rsidP="00000000" w:rsidRDefault="00000000" w:rsidRPr="00000000" w14:paraId="0000008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CathAction: A Benchmark for Endovascular Intervention Understanding, accessed May 18, 2026, </w:t>
      </w:r>
      <w:hyperlink r:id="rId49">
        <w:r w:rsidDel="00000000" w:rsidR="00000000" w:rsidRPr="00000000">
          <w:rPr>
            <w:rFonts w:ascii="Google Sans" w:cs="Google Sans" w:eastAsia="Google Sans" w:hAnsi="Google Sans"/>
            <w:color w:val="0000ee"/>
            <w:sz w:val="24"/>
            <w:szCs w:val="24"/>
            <w:u w:val="single"/>
            <w:rtl w:val="0"/>
          </w:rPr>
          <w:t xml:space="preserve">https://www.researchgate.net/publication/383412883_CathAction_A_Benchmark_for_Endovascular_Intervention_Understanding</w:t>
        </w:r>
      </w:hyperlink>
      <w:r w:rsidDel="00000000" w:rsidR="00000000" w:rsidRPr="00000000">
        <w:rPr>
          <w:rtl w:val="0"/>
        </w:rPr>
      </w:r>
    </w:p>
    <w:p w:rsidR="00000000" w:rsidDel="00000000" w:rsidP="00000000" w:rsidRDefault="00000000" w:rsidRPr="00000000" w14:paraId="0000008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[Arxiv] CathAction: A Benchmark for Endovascular Intervention Understanding - GitHub, accessed May 18, 2026, </w:t>
      </w:r>
      <w:hyperlink r:id="rId50">
        <w:r w:rsidDel="00000000" w:rsidR="00000000" w:rsidRPr="00000000">
          <w:rPr>
            <w:rFonts w:ascii="Google Sans" w:cs="Google Sans" w:eastAsia="Google Sans" w:hAnsi="Google Sans"/>
            <w:color w:val="0000ee"/>
            <w:sz w:val="24"/>
            <w:szCs w:val="24"/>
            <w:u w:val="single"/>
            <w:rtl w:val="0"/>
          </w:rPr>
          <w:t xml:space="preserve">https://github.com/airvlab/cathaction</w:t>
        </w:r>
      </w:hyperlink>
      <w:r w:rsidDel="00000000" w:rsidR="00000000" w:rsidRPr="00000000">
        <w:rPr>
          <w:rtl w:val="0"/>
        </w:rPr>
      </w:r>
    </w:p>
    <w:p w:rsidR="00000000" w:rsidDel="00000000" w:rsidP="00000000" w:rsidRDefault="00000000" w:rsidRPr="00000000" w14:paraId="0000008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Annotated X-Ray Angiography Dataset - Kaggle, accessed May 18, 2026, </w:t>
      </w:r>
      <w:hyperlink r:id="rId51">
        <w:r w:rsidDel="00000000" w:rsidR="00000000" w:rsidRPr="00000000">
          <w:rPr>
            <w:rFonts w:ascii="Google Sans" w:cs="Google Sans" w:eastAsia="Google Sans" w:hAnsi="Google Sans"/>
            <w:color w:val="0000ee"/>
            <w:sz w:val="24"/>
            <w:szCs w:val="24"/>
            <w:u w:val="single"/>
            <w:rtl w:val="0"/>
          </w:rPr>
          <w:t xml:space="preserve">https://www.kaggle.com/datasets/nikitamanaenkov/annotated-x-ray-angiography-dataset</w:t>
        </w:r>
      </w:hyperlink>
      <w:r w:rsidDel="00000000" w:rsidR="00000000" w:rsidRPr="00000000">
        <w:rPr>
          <w:rtl w:val="0"/>
        </w:rPr>
      </w:r>
    </w:p>
    <w:p w:rsidR="00000000" w:rsidDel="00000000" w:rsidP="00000000" w:rsidRDefault="00000000" w:rsidRPr="00000000" w14:paraId="0000008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JianjunZhu/Vascular-Guidewire-Datasets - GitHub, accessed May 18, 2026, </w:t>
      </w:r>
      <w:hyperlink r:id="rId52">
        <w:r w:rsidDel="00000000" w:rsidR="00000000" w:rsidRPr="00000000">
          <w:rPr>
            <w:rFonts w:ascii="Google Sans" w:cs="Google Sans" w:eastAsia="Google Sans" w:hAnsi="Google Sans"/>
            <w:color w:val="0000ee"/>
            <w:sz w:val="24"/>
            <w:szCs w:val="24"/>
            <w:u w:val="single"/>
            <w:rtl w:val="0"/>
          </w:rPr>
          <w:t xml:space="preserve">https://github.com/JianjunZhu/Vascular-Guidewire-Datasets</w:t>
        </w:r>
      </w:hyperlink>
      <w:r w:rsidDel="00000000" w:rsidR="00000000" w:rsidRPr="00000000">
        <w:rPr>
          <w:rtl w:val="0"/>
        </w:rPr>
      </w:r>
    </w:p>
    <w:p w:rsidR="00000000" w:rsidDel="00000000" w:rsidP="00000000" w:rsidRDefault="00000000" w:rsidRPr="00000000" w14:paraId="0000008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Jianjun ZHU JianjunZhu - GitHub, accessed May 18, 2026, </w:t>
      </w:r>
      <w:hyperlink r:id="rId53">
        <w:r w:rsidDel="00000000" w:rsidR="00000000" w:rsidRPr="00000000">
          <w:rPr>
            <w:rFonts w:ascii="Google Sans" w:cs="Google Sans" w:eastAsia="Google Sans" w:hAnsi="Google Sans"/>
            <w:color w:val="0000ee"/>
            <w:sz w:val="24"/>
            <w:szCs w:val="24"/>
            <w:u w:val="single"/>
            <w:rtl w:val="0"/>
          </w:rPr>
          <w:t xml:space="preserve">https://github.com/JianjunZhu</w:t>
        </w:r>
      </w:hyperlink>
      <w:r w:rsidDel="00000000" w:rsidR="00000000" w:rsidRPr="00000000">
        <w:rPr>
          <w:rtl w:val="0"/>
        </w:rPr>
      </w:r>
    </w:p>
    <w:p w:rsidR="00000000" w:rsidDel="00000000" w:rsidP="00000000" w:rsidRDefault="00000000" w:rsidRPr="00000000" w14:paraId="0000008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Reducing Noise and Improving Image Contrast with a Hybrid Approach to Enhance the Quality of Medical Imaging - PMC, accessed May 18, 2026,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https://pmc.ncbi.nlm.nih.gov/articles/PMC12893359/</w:t>
        </w:r>
      </w:hyperlink>
      <w:r w:rsidDel="00000000" w:rsidR="00000000" w:rsidRPr="00000000">
        <w:rPr>
          <w:rtl w:val="0"/>
        </w:rPr>
      </w:r>
    </w:p>
    <w:p w:rsidR="00000000" w:rsidDel="00000000" w:rsidP="00000000" w:rsidRDefault="00000000" w:rsidRPr="00000000" w14:paraId="0000008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X-Ray Image Enhancement Using CLAHE Method - IRJET, accessed May 18, 2026, </w:t>
      </w:r>
      <w:hyperlink r:id="rId55">
        <w:r w:rsidDel="00000000" w:rsidR="00000000" w:rsidRPr="00000000">
          <w:rPr>
            <w:rFonts w:ascii="Google Sans" w:cs="Google Sans" w:eastAsia="Google Sans" w:hAnsi="Google Sans"/>
            <w:color w:val="0000ee"/>
            <w:sz w:val="24"/>
            <w:szCs w:val="24"/>
            <w:u w:val="single"/>
            <w:rtl w:val="0"/>
          </w:rPr>
          <w:t xml:space="preserve">https://www.irjet.net/archives/V8/i4/IRJET-V8I4502.pdf</w:t>
        </w:r>
      </w:hyperlink>
      <w:r w:rsidDel="00000000" w:rsidR="00000000" w:rsidRPr="00000000">
        <w:rPr>
          <w:rtl w:val="0"/>
        </w:rPr>
      </w:r>
    </w:p>
    <w:p w:rsidR="00000000" w:rsidDel="00000000" w:rsidP="00000000" w:rsidRDefault="00000000" w:rsidRPr="00000000" w14:paraId="0000009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 processing pipeline PACE 2.0 for enhancing chest x-ray contrast and diagnostic interpretability - PMC, accessed May 18, 2026, </w:t>
      </w:r>
      <w:hyperlink r:id="rId56">
        <w:r w:rsidDel="00000000" w:rsidR="00000000" w:rsidRPr="00000000">
          <w:rPr>
            <w:rFonts w:ascii="Google Sans" w:cs="Google Sans" w:eastAsia="Google Sans" w:hAnsi="Google Sans"/>
            <w:color w:val="0000ee"/>
            <w:sz w:val="24"/>
            <w:szCs w:val="24"/>
            <w:u w:val="single"/>
            <w:rtl w:val="0"/>
          </w:rPr>
          <w:t xml:space="preserve">https://pmc.ncbi.nlm.nih.gov/articles/PMC10728198/</w:t>
        </w:r>
      </w:hyperlink>
      <w:r w:rsidDel="00000000" w:rsidR="00000000" w:rsidRPr="00000000">
        <w:rPr>
          <w:rtl w:val="0"/>
        </w:rPr>
      </w:r>
    </w:p>
    <w:p w:rsidR="00000000" w:rsidDel="00000000" w:rsidP="00000000" w:rsidRDefault="00000000" w:rsidRPr="00000000" w14:paraId="0000009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MIC-DKFZ/nnUNet - GitHub, accessed May 18, 2026, </w:t>
      </w:r>
      <w:hyperlink r:id="rId57">
        <w:r w:rsidDel="00000000" w:rsidR="00000000" w:rsidRPr="00000000">
          <w:rPr>
            <w:rFonts w:ascii="Google Sans" w:cs="Google Sans" w:eastAsia="Google Sans" w:hAnsi="Google Sans"/>
            <w:color w:val="0000ee"/>
            <w:sz w:val="24"/>
            <w:szCs w:val="24"/>
            <w:u w:val="single"/>
            <w:rtl w:val="0"/>
          </w:rPr>
          <w:t xml:space="preserve">https://github.com/MIC-DKFZ/nnUNet</w:t>
        </w:r>
      </w:hyperlink>
      <w:r w:rsidDel="00000000" w:rsidR="00000000" w:rsidRPr="00000000">
        <w:rPr>
          <w:rtl w:val="0"/>
        </w:rPr>
      </w:r>
    </w:p>
    <w:p w:rsidR="00000000" w:rsidDel="00000000" w:rsidP="00000000" w:rsidRDefault="00000000" w:rsidRPr="00000000" w14:paraId="0000009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HarmonySeg: Tubular Structure Segmentation with Deep-Shallow Feature Fusion and Growth-Suppression Balanced Loss - arXiv, accessed May 18, 2026, </w:t>
      </w:r>
      <w:hyperlink r:id="rId58">
        <w:r w:rsidDel="00000000" w:rsidR="00000000" w:rsidRPr="00000000">
          <w:rPr>
            <w:rFonts w:ascii="Google Sans" w:cs="Google Sans" w:eastAsia="Google Sans" w:hAnsi="Google Sans"/>
            <w:color w:val="0000ee"/>
            <w:sz w:val="24"/>
            <w:szCs w:val="24"/>
            <w:u w:val="single"/>
            <w:rtl w:val="0"/>
          </w:rPr>
          <w:t xml:space="preserve">https://arxiv.org/html/2504.07827v1</w:t>
        </w:r>
      </w:hyperlink>
      <w:r w:rsidDel="00000000" w:rsidR="00000000" w:rsidRPr="00000000">
        <w:rPr>
          <w:rtl w:val="0"/>
        </w:rPr>
      </w:r>
    </w:p>
    <w:p w:rsidR="00000000" w:rsidDel="00000000" w:rsidP="00000000" w:rsidRDefault="00000000" w:rsidRPr="00000000" w14:paraId="0000009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open-source nnU-net algorithm for automatic segmentation of MRI scans in the male pelvis for adaptive radiotherapy - PMC, accessed May 18, 2026,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https://pmc.ncbi.nlm.nih.gov/articles/PMC10654998/</w:t>
        </w:r>
      </w:hyperlink>
      <w:r w:rsidDel="00000000" w:rsidR="00000000" w:rsidRPr="00000000">
        <w:rPr>
          <w:rtl w:val="0"/>
        </w:rPr>
      </w:r>
    </w:p>
    <w:p w:rsidR="00000000" w:rsidDel="00000000" w:rsidP="00000000" w:rsidRDefault="00000000" w:rsidRPr="00000000" w14:paraId="0000009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Lightweight attention network for guidewire segmentation and localization in clinical fluoroscopic images of vascular interventional surgery - Wang, accessed May 18, 2026, </w:t>
      </w:r>
      <w:hyperlink r:id="rId60">
        <w:r w:rsidDel="00000000" w:rsidR="00000000" w:rsidRPr="00000000">
          <w:rPr>
            <w:rFonts w:ascii="Google Sans" w:cs="Google Sans" w:eastAsia="Google Sans" w:hAnsi="Google Sans"/>
            <w:color w:val="0000ee"/>
            <w:sz w:val="24"/>
            <w:szCs w:val="24"/>
            <w:u w:val="single"/>
            <w:rtl w:val="0"/>
          </w:rPr>
          <w:t xml:space="preserve">https://qims.amegroups.org/article/view/136604/html</w:t>
        </w:r>
      </w:hyperlink>
      <w:r w:rsidDel="00000000" w:rsidR="00000000" w:rsidRPr="00000000">
        <w:rPr>
          <w:rtl w:val="0"/>
        </w:rPr>
      </w:r>
    </w:p>
    <w:p w:rsidR="00000000" w:rsidDel="00000000" w:rsidP="00000000" w:rsidRDefault="00000000" w:rsidRPr="00000000" w14:paraId="0000009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Lightweight attention network for guidewire segmentation and localization in clinical fluoroscopic images of vascular interventional surgery - PMC, accessed May 18, 2026,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https://pmc.ncbi.nlm.nih.gov/articles/PMC12082592/</w:t>
        </w:r>
      </w:hyperlink>
      <w:r w:rsidDel="00000000" w:rsidR="00000000" w:rsidRPr="00000000">
        <w:rPr>
          <w:rtl w:val="0"/>
        </w:rPr>
      </w:r>
    </w:p>
    <w:p w:rsidR="00000000" w:rsidDel="00000000" w:rsidP="00000000" w:rsidRDefault="00000000" w:rsidRPr="00000000" w14:paraId="0000009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Implementation of dice loss - vision - PyTorch Forums, accessed May 18, 2026, </w:t>
      </w:r>
      <w:hyperlink r:id="rId62">
        <w:r w:rsidDel="00000000" w:rsidR="00000000" w:rsidRPr="00000000">
          <w:rPr>
            <w:rFonts w:ascii="Google Sans" w:cs="Google Sans" w:eastAsia="Google Sans" w:hAnsi="Google Sans"/>
            <w:color w:val="0000ee"/>
            <w:sz w:val="24"/>
            <w:szCs w:val="24"/>
            <w:u w:val="single"/>
            <w:rtl w:val="0"/>
          </w:rPr>
          <w:t xml:space="preserve">https://discuss.pytorch.org/t/implementation-of-dice-loss/53552</w:t>
        </w:r>
      </w:hyperlink>
      <w:r w:rsidDel="00000000" w:rsidR="00000000" w:rsidRPr="00000000">
        <w:rPr>
          <w:rtl w:val="0"/>
        </w:rPr>
      </w:r>
    </w:p>
    <w:p w:rsidR="00000000" w:rsidDel="00000000" w:rsidP="00000000" w:rsidRDefault="00000000" w:rsidRPr="00000000" w14:paraId="0000009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clDice - A Novel Topology-Preserving Loss Function for Tubular Structure Segmentation - CVF Open Access, accessed May 18, 2026, </w:t>
      </w:r>
      <w:hyperlink r:id="rId63">
        <w:r w:rsidDel="00000000" w:rsidR="00000000" w:rsidRPr="00000000">
          <w:rPr>
            <w:rFonts w:ascii="Google Sans" w:cs="Google Sans" w:eastAsia="Google Sans" w:hAnsi="Google Sans"/>
            <w:color w:val="0000ee"/>
            <w:sz w:val="24"/>
            <w:szCs w:val="24"/>
            <w:u w:val="single"/>
            <w:rtl w:val="0"/>
          </w:rPr>
          <w:t xml:space="preserve">https://openaccess.thecvf.com/content/CVPR2021/papers/Shit_clDice_-_A_Novel_Topology-Preserving_Loss_Function_for_Tubular_Structure_CVPR_2021_paper.pdf</w:t>
        </w:r>
      </w:hyperlink>
      <w:r w:rsidDel="00000000" w:rsidR="00000000" w:rsidRPr="00000000">
        <w:rPr>
          <w:rtl w:val="0"/>
        </w:rPr>
      </w:r>
    </w:p>
    <w:p w:rsidR="00000000" w:rsidDel="00000000" w:rsidP="00000000" w:rsidRDefault="00000000" w:rsidRPr="00000000" w14:paraId="0000009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Centerline-Cross Entropy Loss for Vessel-Like Structure Segmentation: Better Topology Consistency Without Sacrificing Accuracy - MICCAI, accessed May 18, 2026, </w:t>
      </w:r>
      <w:hyperlink r:id="rId64">
        <w:r w:rsidDel="00000000" w:rsidR="00000000" w:rsidRPr="00000000">
          <w:rPr>
            <w:rFonts w:ascii="Google Sans" w:cs="Google Sans" w:eastAsia="Google Sans" w:hAnsi="Google Sans"/>
            <w:color w:val="0000ee"/>
            <w:sz w:val="24"/>
            <w:szCs w:val="24"/>
            <w:u w:val="single"/>
            <w:rtl w:val="0"/>
          </w:rPr>
          <w:t xml:space="preserve">https://papers.miccai.org/miccai-2024/paper/1081_paper.pdf</w:t>
        </w:r>
      </w:hyperlink>
      <w:r w:rsidDel="00000000" w:rsidR="00000000" w:rsidRPr="00000000">
        <w:rPr>
          <w:rtl w:val="0"/>
        </w:rPr>
      </w:r>
    </w:p>
    <w:p w:rsidR="00000000" w:rsidDel="00000000" w:rsidP="00000000" w:rsidRDefault="00000000" w:rsidRPr="00000000" w14:paraId="0000009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pyTorch implementation of clDice - GitHub, accessed May 18, 2026, </w:t>
      </w:r>
      <w:hyperlink r:id="rId65">
        <w:r w:rsidDel="00000000" w:rsidR="00000000" w:rsidRPr="00000000">
          <w:rPr>
            <w:rFonts w:ascii="Google Sans" w:cs="Google Sans" w:eastAsia="Google Sans" w:hAnsi="Google Sans"/>
            <w:color w:val="0000ee"/>
            <w:sz w:val="24"/>
            <w:szCs w:val="24"/>
            <w:u w:val="single"/>
            <w:rtl w:val="0"/>
          </w:rPr>
          <w:t xml:space="preserve">https://github.com/dmitrysarov/clDice</w:t>
        </w:r>
      </w:hyperlink>
      <w:r w:rsidDel="00000000" w:rsidR="00000000" w:rsidRPr="00000000">
        <w:rPr>
          <w:rtl w:val="0"/>
        </w:rPr>
      </w:r>
    </w:p>
    <w:p w:rsidR="00000000" w:rsidDel="00000000" w:rsidP="00000000" w:rsidRDefault="00000000" w:rsidRPr="00000000" w14:paraId="0000009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Shape-Sensitive Loss for Catheter and Guidewire Segmentation, accessed May 18, 2026, </w:t>
      </w:r>
      <w:hyperlink r:id="rId66">
        <w:r w:rsidDel="00000000" w:rsidR="00000000" w:rsidRPr="00000000">
          <w:rPr>
            <w:rFonts w:ascii="Google Sans" w:cs="Google Sans" w:eastAsia="Google Sans" w:hAnsi="Google Sans"/>
            <w:color w:val="0000ee"/>
            <w:sz w:val="24"/>
            <w:szCs w:val="24"/>
            <w:u w:val="single"/>
            <w:rtl w:val="0"/>
          </w:rPr>
          <w:t xml:space="preserve">https://jingxuan.uk/papers/shape-sensitive-loss-for-catheter-and-guidewire-segmentation.pdf</w:t>
        </w:r>
      </w:hyperlink>
      <w:r w:rsidDel="00000000" w:rsidR="00000000" w:rsidRPr="00000000">
        <w:rPr>
          <w:rtl w:val="0"/>
        </w:rPr>
      </w:r>
    </w:p>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Beyond Conventional Losses: Skeleton-Based Loss for Preserving Connectivity in Crack Segmentation - MDPI, accessed May 18, 2026, </w:t>
      </w:r>
      <w:hyperlink r:id="rId67">
        <w:r w:rsidDel="00000000" w:rsidR="00000000" w:rsidRPr="00000000">
          <w:rPr>
            <w:rFonts w:ascii="Google Sans" w:cs="Google Sans" w:eastAsia="Google Sans" w:hAnsi="Google Sans"/>
            <w:color w:val="0000ee"/>
            <w:sz w:val="24"/>
            <w:szCs w:val="24"/>
            <w:u w:val="single"/>
            <w:rtl w:val="0"/>
          </w:rPr>
          <w:t xml:space="preserve">https://www.mdpi.com/2673-7590/5/4/177</w:t>
        </w:r>
      </w:hyperlink>
      <w:r w:rsidDel="00000000" w:rsidR="00000000" w:rsidRPr="00000000">
        <w:rPr>
          <w:rtl w:val="0"/>
        </w:rPr>
      </w:r>
    </w:p>
    <w:p w:rsidR="00000000" w:rsidDel="00000000" w:rsidP="00000000" w:rsidRDefault="00000000" w:rsidRPr="00000000" w14:paraId="0000009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Skeleton Recall Loss for Connectivity Conserving and Resource Efficient Segmentation of Thin Tubular Structures - arXiv, accessed May 18, 2026, </w:t>
      </w:r>
      <w:hyperlink r:id="rId68">
        <w:r w:rsidDel="00000000" w:rsidR="00000000" w:rsidRPr="00000000">
          <w:rPr>
            <w:rFonts w:ascii="Google Sans" w:cs="Google Sans" w:eastAsia="Google Sans" w:hAnsi="Google Sans"/>
            <w:color w:val="0000ee"/>
            <w:sz w:val="24"/>
            <w:szCs w:val="24"/>
            <w:u w:val="single"/>
            <w:rtl w:val="0"/>
          </w:rPr>
          <w:t xml:space="preserve">https://arxiv.org/html/2404.03010v1</w:t>
        </w:r>
      </w:hyperlink>
      <w:r w:rsidDel="00000000" w:rsidR="00000000" w:rsidRPr="00000000">
        <w:rPr>
          <w:rtl w:val="0"/>
        </w:rPr>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jocpae/clDice - GitHub, accessed May 18, 2026, </w:t>
      </w:r>
      <w:hyperlink r:id="rId69">
        <w:r w:rsidDel="00000000" w:rsidR="00000000" w:rsidRPr="00000000">
          <w:rPr>
            <w:rFonts w:ascii="Google Sans" w:cs="Google Sans" w:eastAsia="Google Sans" w:hAnsi="Google Sans"/>
            <w:color w:val="0000ee"/>
            <w:sz w:val="24"/>
            <w:szCs w:val="24"/>
            <w:u w:val="single"/>
            <w:rtl w:val="0"/>
          </w:rPr>
          <w:t xml:space="preserve">https://github.com/jocpae/clDice</w:t>
        </w:r>
      </w:hyperlink>
      <w:r w:rsidDel="00000000" w:rsidR="00000000" w:rsidRPr="00000000">
        <w:rPr>
          <w:rtl w:val="0"/>
        </w:rPr>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PengchengShi1220/cbDice: [MICCAI 2024] Centerline Boundary Dice Loss for Vascular Segmentation - GitHub, accessed May 18, 2026, </w:t>
      </w:r>
      <w:hyperlink r:id="rId70">
        <w:r w:rsidDel="00000000" w:rsidR="00000000" w:rsidRPr="00000000">
          <w:rPr>
            <w:rFonts w:ascii="Google Sans" w:cs="Google Sans" w:eastAsia="Google Sans" w:hAnsi="Google Sans"/>
            <w:color w:val="0000ee"/>
            <w:sz w:val="24"/>
            <w:szCs w:val="24"/>
            <w:u w:val="single"/>
            <w:rtl w:val="0"/>
          </w:rPr>
          <w:t xml:space="preserve">https://github.com/PengchengShi1220/cbDice</w:t>
        </w:r>
      </w:hyperlink>
      <w:r w:rsidDel="00000000" w:rsidR="00000000" w:rsidRPr="00000000">
        <w:rPr>
          <w:rtl w:val="0"/>
        </w:rPr>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GraphMorph: Tubular Structure Extraction by Morphing Predicted Graphs - arXiv, accessed May 18, 2026, </w:t>
      </w:r>
      <w:hyperlink r:id="rId71">
        <w:r w:rsidDel="00000000" w:rsidR="00000000" w:rsidRPr="00000000">
          <w:rPr>
            <w:rFonts w:ascii="Google Sans" w:cs="Google Sans" w:eastAsia="Google Sans" w:hAnsi="Google Sans"/>
            <w:color w:val="0000ee"/>
            <w:sz w:val="24"/>
            <w:szCs w:val="24"/>
            <w:u w:val="single"/>
            <w:rtl w:val="0"/>
          </w:rPr>
          <w:t xml:space="preserve">https://arxiv.org/pdf/2502.11731</w:t>
        </w:r>
      </w:hyperlink>
      <w:r w:rsidDel="00000000" w:rsidR="00000000" w:rsidRPr="00000000">
        <w:rPr>
          <w:rtl w:val="0"/>
        </w:rPr>
      </w:r>
    </w:p>
    <w:p w:rsidR="00000000" w:rsidDel="00000000" w:rsidP="00000000" w:rsidRDefault="00000000" w:rsidRPr="00000000" w14:paraId="000000A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Centerline Boundary Dice Loss for Vascular Segmentation - arXiv, accessed May 18, 2026, </w:t>
      </w:r>
      <w:hyperlink r:id="rId72">
        <w:r w:rsidDel="00000000" w:rsidR="00000000" w:rsidRPr="00000000">
          <w:rPr>
            <w:rFonts w:ascii="Google Sans" w:cs="Google Sans" w:eastAsia="Google Sans" w:hAnsi="Google Sans"/>
            <w:color w:val="0000ee"/>
            <w:sz w:val="24"/>
            <w:szCs w:val="24"/>
            <w:u w:val="single"/>
            <w:rtl w:val="0"/>
          </w:rPr>
          <w:t xml:space="preserve">https://arxiv.org/html/2407.01517v1</w:t>
        </w:r>
      </w:hyperlink>
      <w:r w:rsidDel="00000000" w:rsidR="00000000" w:rsidRPr="00000000">
        <w:rPr>
          <w:rtl w:val="0"/>
        </w:rPr>
      </w:r>
    </w:p>
    <w:p w:rsidR="00000000" w:rsidDel="00000000" w:rsidP="00000000" w:rsidRDefault="00000000" w:rsidRPr="00000000" w14:paraId="000000A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MSLNet and Perceptual Grouping for Guidewire Segmentation and Localization - Preprints.org, accessed May 18, 2026, </w:t>
      </w:r>
      <w:hyperlink r:id="rId73">
        <w:r w:rsidDel="00000000" w:rsidR="00000000" w:rsidRPr="00000000">
          <w:rPr>
            <w:rFonts w:ascii="Google Sans" w:cs="Google Sans" w:eastAsia="Google Sans" w:hAnsi="Google Sans"/>
            <w:color w:val="0000ee"/>
            <w:sz w:val="24"/>
            <w:szCs w:val="24"/>
            <w:u w:val="single"/>
            <w:rtl w:val="0"/>
          </w:rPr>
          <w:t xml:space="preserve">https://www.preprints.org/frontend/manuscript/11f5b9cd591808a73152246cb8967c74/download_pub</w:t>
        </w:r>
      </w:hyperlink>
      <w:r w:rsidDel="00000000" w:rsidR="00000000" w:rsidRPr="00000000">
        <w:rPr>
          <w:rtl w:val="0"/>
        </w:rPr>
      </w:r>
    </w:p>
    <w:p w:rsidR="00000000" w:rsidDel="00000000" w:rsidP="00000000" w:rsidRDefault="00000000" w:rsidRPr="00000000" w14:paraId="000000A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Implementation of dice loss — vision — PyTorch | by Hey Amit | Data Scientist's Diary, accessed May 18, 2026, </w:t>
      </w:r>
      <w:hyperlink r:id="rId74">
        <w:r w:rsidDel="00000000" w:rsidR="00000000" w:rsidRPr="00000000">
          <w:rPr>
            <w:rFonts w:ascii="Google Sans" w:cs="Google Sans" w:eastAsia="Google Sans" w:hAnsi="Google Sans"/>
            <w:color w:val="0000ee"/>
            <w:sz w:val="24"/>
            <w:szCs w:val="24"/>
            <w:u w:val="single"/>
            <w:rtl w:val="0"/>
          </w:rPr>
          <w:t xml:space="preserve">https://medium.com/data-scientists-diary/implementation-of-dice-loss-vision-pytorch-7eef1e438f68</w:t>
        </w:r>
      </w:hyperlink>
      <w:r w:rsidDel="00000000" w:rsidR="00000000" w:rsidRPr="00000000">
        <w:rPr>
          <w:rtl w:val="0"/>
        </w:rPr>
      </w:r>
    </w:p>
    <w:p w:rsidR="00000000" w:rsidDel="00000000" w:rsidP="00000000" w:rsidRDefault="00000000" w:rsidRPr="00000000" w14:paraId="000000A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Robust Vessel Segmentation and Centerline Extraction: One-Stage Deep Learning Approach - MDPI, accessed May 18, 2026, </w:t>
      </w:r>
      <w:hyperlink r:id="rId75">
        <w:r w:rsidDel="00000000" w:rsidR="00000000" w:rsidRPr="00000000">
          <w:rPr>
            <w:rFonts w:ascii="Google Sans" w:cs="Google Sans" w:eastAsia="Google Sans" w:hAnsi="Google Sans"/>
            <w:color w:val="0000ee"/>
            <w:sz w:val="24"/>
            <w:szCs w:val="24"/>
            <w:u w:val="single"/>
            <w:rtl w:val="0"/>
          </w:rPr>
          <w:t xml:space="preserve">https://www.mdpi.com/2313-433X/11/7/209</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99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97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99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97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97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97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99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99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41157479/" TargetMode="External"/><Relationship Id="rId42" Type="http://schemas.openxmlformats.org/officeDocument/2006/relationships/hyperlink" Target="https://pmc.ncbi.nlm.nih.gov/articles/PMC7903142/" TargetMode="External"/><Relationship Id="rId41" Type="http://schemas.openxmlformats.org/officeDocument/2006/relationships/hyperlink" Target="https://www.researchgate.net/publication/335927802_Comparison_of_Background_Removal_Approaches_in_X-ray_Fluoroscopy_for_Detection_of_Cerebral_Stent_Markers" TargetMode="External"/><Relationship Id="rId44" Type="http://schemas.openxmlformats.org/officeDocument/2006/relationships/hyperlink" Target="https://pubmed.ncbi.nlm.nih.gov/30629524/" TargetMode="External"/><Relationship Id="rId43" Type="http://schemas.openxmlformats.org/officeDocument/2006/relationships/hyperlink" Target="https://github.com/xilin-x/MOSXAV" TargetMode="External"/><Relationship Id="rId46" Type="http://schemas.openxmlformats.org/officeDocument/2006/relationships/hyperlink" Target="https://arxiv.org/pdf/2404.08805" TargetMode="External"/><Relationship Id="rId45" Type="http://schemas.openxmlformats.org/officeDocument/2006/relationships/hyperlink" Target="https://arxiv.org/html/2404.08805v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hyperlink" Target="https://huggingface.co/datasets/airvlab/CathAction" TargetMode="External"/><Relationship Id="rId47" Type="http://schemas.openxmlformats.org/officeDocument/2006/relationships/hyperlink" Target="https://airvlab.github.io/cathaction/" TargetMode="External"/><Relationship Id="rId49" Type="http://schemas.openxmlformats.org/officeDocument/2006/relationships/hyperlink" Target="https://www.researchgate.net/publication/383412883_CathAction_A_Benchmark_for_Endovascular_Intervention_Understanding" TargetMode="Externa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32.png"/><Relationship Id="rId8" Type="http://schemas.openxmlformats.org/officeDocument/2006/relationships/image" Target="media/image11.png"/><Relationship Id="rId73" Type="http://schemas.openxmlformats.org/officeDocument/2006/relationships/hyperlink" Target="https://www.preprints.org/frontend/manuscript/11f5b9cd591808a73152246cb8967c74/download_pub" TargetMode="External"/><Relationship Id="rId72" Type="http://schemas.openxmlformats.org/officeDocument/2006/relationships/hyperlink" Target="https://arxiv.org/html/2407.01517v1" TargetMode="External"/><Relationship Id="rId31" Type="http://schemas.openxmlformats.org/officeDocument/2006/relationships/image" Target="media/image12.png"/><Relationship Id="rId75" Type="http://schemas.openxmlformats.org/officeDocument/2006/relationships/hyperlink" Target="https://www.mdpi.com/2313-433X/11/7/209" TargetMode="External"/><Relationship Id="rId30" Type="http://schemas.openxmlformats.org/officeDocument/2006/relationships/image" Target="media/image6.png"/><Relationship Id="rId74" Type="http://schemas.openxmlformats.org/officeDocument/2006/relationships/hyperlink" Target="https://medium.com/data-scientists-diary/implementation-of-dice-loss-vision-pytorch-7eef1e438f68" TargetMode="External"/><Relationship Id="rId33" Type="http://schemas.openxmlformats.org/officeDocument/2006/relationships/image" Target="media/image10.png"/><Relationship Id="rId32" Type="http://schemas.openxmlformats.org/officeDocument/2006/relationships/image" Target="media/image16.png"/><Relationship Id="rId35" Type="http://schemas.openxmlformats.org/officeDocument/2006/relationships/image" Target="media/image5.png"/><Relationship Id="rId34" Type="http://schemas.openxmlformats.org/officeDocument/2006/relationships/image" Target="media/image19.png"/><Relationship Id="rId71" Type="http://schemas.openxmlformats.org/officeDocument/2006/relationships/hyperlink" Target="https://arxiv.org/pdf/2502.11731" TargetMode="External"/><Relationship Id="rId70" Type="http://schemas.openxmlformats.org/officeDocument/2006/relationships/hyperlink" Target="https://github.com/PengchengShi1220/cbDice" TargetMode="External"/><Relationship Id="rId37" Type="http://schemas.openxmlformats.org/officeDocument/2006/relationships/image" Target="media/image15.png"/><Relationship Id="rId36" Type="http://schemas.openxmlformats.org/officeDocument/2006/relationships/image" Target="media/image13.png"/><Relationship Id="rId39" Type="http://schemas.openxmlformats.org/officeDocument/2006/relationships/hyperlink" Target="https://pubmed.ncbi.nlm.nih.gov/40384703/" TargetMode="External"/><Relationship Id="rId38" Type="http://schemas.openxmlformats.org/officeDocument/2006/relationships/hyperlink" Target="https://rdr.ucl.ac.uk/articles/dataset/WEISS_Catheter_Segmentation_in_Fluoroscopy_Dataset/24624243" TargetMode="External"/><Relationship Id="rId62" Type="http://schemas.openxmlformats.org/officeDocument/2006/relationships/hyperlink" Target="https://discuss.pytorch.org/t/implementation-of-dice-loss/53552" TargetMode="External"/><Relationship Id="rId61" Type="http://schemas.openxmlformats.org/officeDocument/2006/relationships/hyperlink" Target="https://pmc.ncbi.nlm.nih.gov/articles/PMC12082592/" TargetMode="External"/><Relationship Id="rId20" Type="http://schemas.openxmlformats.org/officeDocument/2006/relationships/image" Target="media/image26.png"/><Relationship Id="rId64" Type="http://schemas.openxmlformats.org/officeDocument/2006/relationships/hyperlink" Target="https://papers.miccai.org/miccai-2024/paper/1081_paper.pdf" TargetMode="External"/><Relationship Id="rId63" Type="http://schemas.openxmlformats.org/officeDocument/2006/relationships/hyperlink" Target="https://openaccess.thecvf.com/content/CVPR2021/papers/Shit_clDice_-_A_Novel_Topology-Preserving_Loss_Function_for_Tubular_Structure_CVPR_2021_paper.pdf" TargetMode="External"/><Relationship Id="rId22" Type="http://schemas.openxmlformats.org/officeDocument/2006/relationships/image" Target="media/image31.png"/><Relationship Id="rId66" Type="http://schemas.openxmlformats.org/officeDocument/2006/relationships/hyperlink" Target="https://jingxuan.uk/papers/shape-sensitive-loss-for-catheter-and-guidewire-segmentation.pdf" TargetMode="External"/><Relationship Id="rId21" Type="http://schemas.openxmlformats.org/officeDocument/2006/relationships/image" Target="media/image27.png"/><Relationship Id="rId65" Type="http://schemas.openxmlformats.org/officeDocument/2006/relationships/hyperlink" Target="https://github.com/dmitrysarov/clDice" TargetMode="External"/><Relationship Id="rId24" Type="http://schemas.openxmlformats.org/officeDocument/2006/relationships/image" Target="media/image30.png"/><Relationship Id="rId68" Type="http://schemas.openxmlformats.org/officeDocument/2006/relationships/hyperlink" Target="https://arxiv.org/html/2404.03010v1" TargetMode="External"/><Relationship Id="rId23" Type="http://schemas.openxmlformats.org/officeDocument/2006/relationships/image" Target="media/image28.png"/><Relationship Id="rId67" Type="http://schemas.openxmlformats.org/officeDocument/2006/relationships/hyperlink" Target="https://www.mdpi.com/2673-7590/5/4/177" TargetMode="External"/><Relationship Id="rId60" Type="http://schemas.openxmlformats.org/officeDocument/2006/relationships/hyperlink" Target="https://qims.amegroups.org/article/view/136604/html" TargetMode="External"/><Relationship Id="rId26" Type="http://schemas.openxmlformats.org/officeDocument/2006/relationships/image" Target="media/image3.png"/><Relationship Id="rId25" Type="http://schemas.openxmlformats.org/officeDocument/2006/relationships/image" Target="media/image29.png"/><Relationship Id="rId69" Type="http://schemas.openxmlformats.org/officeDocument/2006/relationships/hyperlink" Target="https://github.com/jocpae/clDice" TargetMode="External"/><Relationship Id="rId28" Type="http://schemas.openxmlformats.org/officeDocument/2006/relationships/image" Target="media/image2.png"/><Relationship Id="rId27" Type="http://schemas.openxmlformats.org/officeDocument/2006/relationships/image" Target="media/image1.png"/><Relationship Id="rId29" Type="http://schemas.openxmlformats.org/officeDocument/2006/relationships/image" Target="media/image7.png"/><Relationship Id="rId51" Type="http://schemas.openxmlformats.org/officeDocument/2006/relationships/hyperlink" Target="https://www.kaggle.com/datasets/nikitamanaenkov/annotated-x-ray-angiography-dataset" TargetMode="External"/><Relationship Id="rId50" Type="http://schemas.openxmlformats.org/officeDocument/2006/relationships/hyperlink" Target="https://github.com/airvlab/cathaction" TargetMode="External"/><Relationship Id="rId53" Type="http://schemas.openxmlformats.org/officeDocument/2006/relationships/hyperlink" Target="https://github.com/JianjunZhu" TargetMode="External"/><Relationship Id="rId52" Type="http://schemas.openxmlformats.org/officeDocument/2006/relationships/hyperlink" Target="https://github.com/JianjunZhu/Vascular-Guidewire-Datasets" TargetMode="External"/><Relationship Id="rId11" Type="http://schemas.openxmlformats.org/officeDocument/2006/relationships/image" Target="media/image14.png"/><Relationship Id="rId55" Type="http://schemas.openxmlformats.org/officeDocument/2006/relationships/hyperlink" Target="https://www.irjet.net/archives/V8/i4/IRJET-V8I4502.pdf" TargetMode="External"/><Relationship Id="rId10" Type="http://schemas.openxmlformats.org/officeDocument/2006/relationships/image" Target="media/image17.png"/><Relationship Id="rId54" Type="http://schemas.openxmlformats.org/officeDocument/2006/relationships/hyperlink" Target="https://pmc.ncbi.nlm.nih.gov/articles/PMC12893359/" TargetMode="External"/><Relationship Id="rId13" Type="http://schemas.openxmlformats.org/officeDocument/2006/relationships/image" Target="media/image21.png"/><Relationship Id="rId57" Type="http://schemas.openxmlformats.org/officeDocument/2006/relationships/hyperlink" Target="https://github.com/MIC-DKFZ/nnUNet" TargetMode="External"/><Relationship Id="rId12" Type="http://schemas.openxmlformats.org/officeDocument/2006/relationships/image" Target="media/image9.png"/><Relationship Id="rId56" Type="http://schemas.openxmlformats.org/officeDocument/2006/relationships/hyperlink" Target="https://pmc.ncbi.nlm.nih.gov/articles/PMC10728198/" TargetMode="External"/><Relationship Id="rId15" Type="http://schemas.openxmlformats.org/officeDocument/2006/relationships/image" Target="media/image20.png"/><Relationship Id="rId59" Type="http://schemas.openxmlformats.org/officeDocument/2006/relationships/hyperlink" Target="https://pmc.ncbi.nlm.nih.gov/articles/PMC10654998/" TargetMode="External"/><Relationship Id="rId14" Type="http://schemas.openxmlformats.org/officeDocument/2006/relationships/image" Target="media/image8.png"/><Relationship Id="rId58" Type="http://schemas.openxmlformats.org/officeDocument/2006/relationships/hyperlink" Target="https://arxiv.org/html/2504.07827v1" TargetMode="External"/><Relationship Id="rId17" Type="http://schemas.openxmlformats.org/officeDocument/2006/relationships/image" Target="media/image25.png"/><Relationship Id="rId16" Type="http://schemas.openxmlformats.org/officeDocument/2006/relationships/image" Target="media/image23.png"/><Relationship Id="rId19" Type="http://schemas.openxmlformats.org/officeDocument/2006/relationships/image" Target="media/image22.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